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C7E7AE" w14:textId="77777777" w:rsidR="00416324" w:rsidRDefault="00416324" w:rsidP="00B76DEE"/>
    <w:p w14:paraId="0010C8E7" w14:textId="160181AD" w:rsidR="0022013B" w:rsidRDefault="0022013B" w:rsidP="009948D7">
      <w:pPr>
        <w:pStyle w:val="Heading1"/>
      </w:pPr>
      <w:r>
        <w:t xml:space="preserve">Successful </w:t>
      </w:r>
      <w:r w:rsidR="00E40A9E">
        <w:t xml:space="preserve">Investigator-led Projects </w:t>
      </w:r>
      <w:r>
        <w:t>awards listed by host Institution.</w:t>
      </w:r>
    </w:p>
    <w:p w14:paraId="5722C646" w14:textId="77777777" w:rsidR="00633BA1" w:rsidRDefault="00633BA1" w:rsidP="00633BA1"/>
    <w:p w14:paraId="3972FFB0" w14:textId="4551647C" w:rsidR="00633BA1" w:rsidRPr="00633BA1" w:rsidRDefault="00633BA1" w:rsidP="00633BA1">
      <w:r>
        <w:t>17 September 2024</w:t>
      </w:r>
    </w:p>
    <w:p w14:paraId="1EF7E71D" w14:textId="77777777" w:rsidR="00646519" w:rsidRDefault="00646519" w:rsidP="007855AF">
      <w:pPr>
        <w:spacing w:after="120" w:line="276" w:lineRule="auto"/>
      </w:pPr>
    </w:p>
    <w:p w14:paraId="276A174B" w14:textId="77777777" w:rsidR="007855AF" w:rsidRPr="007855AF" w:rsidRDefault="007855AF" w:rsidP="0065760F">
      <w:pPr>
        <w:pStyle w:val="Heading2"/>
      </w:pPr>
      <w:r w:rsidRPr="007855AF">
        <w:t>Maynooth University</w:t>
      </w:r>
    </w:p>
    <w:p w14:paraId="2C0C6E91" w14:textId="77777777" w:rsidR="0065760F" w:rsidRDefault="0065760F" w:rsidP="006D6730">
      <w:pPr>
        <w:spacing w:after="120" w:line="276" w:lineRule="auto"/>
        <w:rPr>
          <w:b/>
          <w:bCs/>
        </w:rPr>
      </w:pPr>
    </w:p>
    <w:p w14:paraId="73FA6DBD" w14:textId="77777777" w:rsidR="000D3DA1" w:rsidRPr="009948D7" w:rsidRDefault="000D3DA1" w:rsidP="000D3DA1">
      <w:pPr>
        <w:spacing w:after="120" w:line="276" w:lineRule="auto"/>
      </w:pPr>
      <w:r w:rsidRPr="009948D7">
        <w:t xml:space="preserve">1 award </w:t>
      </w:r>
      <w:r>
        <w:t xml:space="preserve">total value: </w:t>
      </w:r>
      <w:r w:rsidRPr="007050A0">
        <w:t>€401,01</w:t>
      </w:r>
      <w:r>
        <w:t>4</w:t>
      </w:r>
    </w:p>
    <w:p w14:paraId="6950ED49" w14:textId="77777777" w:rsidR="009948D7" w:rsidRDefault="009948D7" w:rsidP="006D6730">
      <w:pPr>
        <w:spacing w:after="120" w:line="276" w:lineRule="auto"/>
        <w:rPr>
          <w:b/>
          <w:bCs/>
        </w:rPr>
      </w:pPr>
    </w:p>
    <w:p w14:paraId="60ABECA6" w14:textId="77777777" w:rsidR="006D6730" w:rsidRPr="00806459" w:rsidRDefault="005858F6" w:rsidP="005858F6">
      <w:pPr>
        <w:pStyle w:val="Heading3"/>
      </w:pPr>
      <w:r w:rsidRPr="005858F6">
        <w:t>1.</w:t>
      </w:r>
      <w:r>
        <w:t xml:space="preserve"> </w:t>
      </w:r>
      <w:r w:rsidR="006D6730" w:rsidRPr="00806459">
        <w:t>Lead Applicant: Dr Andrew Hogan</w:t>
      </w:r>
      <w:r w:rsidR="006D6730" w:rsidRPr="00806459">
        <w:tab/>
      </w:r>
    </w:p>
    <w:p w14:paraId="3EA2820F" w14:textId="77777777" w:rsidR="006D6730" w:rsidRDefault="006D6730" w:rsidP="009948D7">
      <w:r w:rsidRPr="00806459">
        <w:t>Project: Targeting iron to boost immune function in obesity and improve patient outcomes</w:t>
      </w:r>
    </w:p>
    <w:p w14:paraId="7B64468C" w14:textId="77777777" w:rsidR="006D6730" w:rsidRDefault="006D6730" w:rsidP="009948D7">
      <w:pPr>
        <w:rPr>
          <w:sz w:val="24"/>
          <w:szCs w:val="24"/>
        </w:rPr>
      </w:pPr>
      <w:r w:rsidRPr="00BF0C41">
        <w:t>Patient-Oriented Research</w:t>
      </w:r>
    </w:p>
    <w:p w14:paraId="50F3658A" w14:textId="77777777" w:rsidR="006D6730" w:rsidRPr="009948D7" w:rsidRDefault="006D6730" w:rsidP="009948D7">
      <w:r w:rsidRPr="00806459">
        <w:t xml:space="preserve">Award Amount: </w:t>
      </w:r>
      <w:r w:rsidRPr="007050A0">
        <w:t>€</w:t>
      </w:r>
      <w:r w:rsidR="000D3DA1" w:rsidRPr="007050A0">
        <w:t>401,01</w:t>
      </w:r>
      <w:r w:rsidR="000D3DA1">
        <w:t>4</w:t>
      </w:r>
    </w:p>
    <w:p w14:paraId="248B4291" w14:textId="77777777" w:rsidR="006D6730" w:rsidRDefault="006D6730" w:rsidP="006D6730">
      <w:pPr>
        <w:pStyle w:val="HRBGeneralText"/>
      </w:pPr>
      <w:r>
        <w:t>Lay summary:</w:t>
      </w:r>
    </w:p>
    <w:p w14:paraId="0D856994" w14:textId="77777777" w:rsidR="006D6730" w:rsidRDefault="006D6730" w:rsidP="006D6730">
      <w:pPr>
        <w:pStyle w:val="HRBGeneralText"/>
      </w:pPr>
      <w:r>
        <w:t xml:space="preserve">Immune dysregulation is a key feature of severe and complex obesity, and has been directly linked to the development of many obesity-related co-morbidities, including type 2 diabetes mellitus (T2DM) and cancer. Obesity is also strongly associated with increased risk of adverse outcomes following infection, as most-evident from the COVID-19 pandemic. Again, immune dysregulation has been shown to both drive excessive inflammation and defective host protection in the setting of obesity. The exact mechanisms/factors that drive obesity-related immune dysregulation have not been fully elucidated. Obesity is linked with systemic alterations in metabolism and nutrient availability, one such nutrient is iron. Iron is </w:t>
      </w:r>
      <w:r w:rsidR="0065760F">
        <w:t>an</w:t>
      </w:r>
      <w:r>
        <w:t xml:space="preserve"> essential micronutrient critical for many physiological and metabolic processes including mitochondrial fitness. We have strong supporting data which identifies iron deficiency as a potential driver of defective immunity.  In the proposed project, we aim to investigate the iron requirements of several important effector populations (including CD8+ T cells, NK cells and MAIT cells). We will investigate the mitochondrial fitness and functionality of these immune population in cohorts of people with obesity (PWO) who are either iron replete or iron deficient. Finally, we will establish if iron supplementation in PWO who are iron deficient can restore effector immunity. Our project will address a major gap in our understanding of how obesity affects the immune system. Furthermore, it has potential to improve patient outcomes by boosting immunity in this </w:t>
      </w:r>
      <w:r w:rsidR="0065760F">
        <w:t>at-risk</w:t>
      </w:r>
      <w:r>
        <w:t xml:space="preserve"> group via an accessible nutritional intervention. Finally, our research team is uniquely placed to have our research outputs translated into clinical policy and practice.</w:t>
      </w:r>
    </w:p>
    <w:p w14:paraId="52300F62" w14:textId="77777777" w:rsidR="006D6730" w:rsidRDefault="006D6730">
      <w:pPr>
        <w:rPr>
          <w:sz w:val="24"/>
          <w:szCs w:val="24"/>
        </w:rPr>
      </w:pPr>
      <w:r>
        <w:rPr>
          <w:sz w:val="24"/>
          <w:szCs w:val="24"/>
        </w:rPr>
        <w:br w:type="page"/>
      </w:r>
    </w:p>
    <w:p w14:paraId="18CAFA6C" w14:textId="77777777" w:rsidR="00416324" w:rsidRDefault="00416324" w:rsidP="00416324">
      <w:pPr>
        <w:spacing w:after="120" w:line="276" w:lineRule="auto"/>
        <w:rPr>
          <w:sz w:val="24"/>
          <w:szCs w:val="24"/>
        </w:rPr>
      </w:pPr>
    </w:p>
    <w:p w14:paraId="3DF5B037" w14:textId="77777777" w:rsidR="00416324" w:rsidRPr="00416324" w:rsidRDefault="00416324" w:rsidP="00416324">
      <w:pPr>
        <w:spacing w:after="120" w:line="276" w:lineRule="auto"/>
        <w:rPr>
          <w:sz w:val="24"/>
          <w:szCs w:val="24"/>
        </w:rPr>
      </w:pPr>
    </w:p>
    <w:p w14:paraId="1576038D" w14:textId="77777777" w:rsidR="006513B4" w:rsidRDefault="006513B4" w:rsidP="00C364F1">
      <w:pPr>
        <w:pStyle w:val="Heading2"/>
      </w:pPr>
      <w:r w:rsidRPr="006513B4">
        <w:t>RCSI University of Medicine and Health Sciences</w:t>
      </w:r>
      <w:r w:rsidRPr="006513B4">
        <w:tab/>
      </w:r>
    </w:p>
    <w:p w14:paraId="6B72FC55" w14:textId="77777777" w:rsidR="000C51B8" w:rsidRDefault="000C51B8" w:rsidP="00C364F1">
      <w:r>
        <w:t xml:space="preserve"> </w:t>
      </w:r>
    </w:p>
    <w:p w14:paraId="354726FD" w14:textId="77777777" w:rsidR="000C51B8" w:rsidRDefault="00F706D5" w:rsidP="00C364F1">
      <w:r>
        <w:t>8 Awards total value</w:t>
      </w:r>
      <w:r w:rsidR="000D3DA1">
        <w:t>: €3,453,869</w:t>
      </w:r>
    </w:p>
    <w:p w14:paraId="05AF9726" w14:textId="77777777" w:rsidR="000C51B8" w:rsidRDefault="000C51B8" w:rsidP="00C364F1"/>
    <w:p w14:paraId="3C463B1C" w14:textId="77777777" w:rsidR="00BD2B58" w:rsidRPr="00806459" w:rsidRDefault="009948D7" w:rsidP="009C5909">
      <w:pPr>
        <w:pStyle w:val="Heading3"/>
      </w:pPr>
      <w:r>
        <w:t xml:space="preserve">2. </w:t>
      </w:r>
      <w:r w:rsidR="00BD2B58" w:rsidRPr="00806459">
        <w:t>Lead Applicant: Dr Shane Browne</w:t>
      </w:r>
      <w:r w:rsidR="00BD2B58" w:rsidRPr="00806459">
        <w:tab/>
      </w:r>
    </w:p>
    <w:p w14:paraId="6D5684C0" w14:textId="77777777" w:rsidR="00BD2B58" w:rsidRPr="00066E4E" w:rsidRDefault="00BD2B58" w:rsidP="00C364F1">
      <w:r w:rsidRPr="00066E4E">
        <w:t>Project: A multi-layered, pore-forming hyaluronic acid hydrogel with antimicrobial and pro-angiogenic properties for the treatment of chronic wounds</w:t>
      </w:r>
    </w:p>
    <w:p w14:paraId="2B2FA2F3" w14:textId="77777777" w:rsidR="00BD2B58" w:rsidRPr="00C364F1" w:rsidRDefault="00BD2B58" w:rsidP="00C364F1">
      <w:pPr>
        <w:rPr>
          <w:sz w:val="24"/>
          <w:szCs w:val="24"/>
        </w:rPr>
      </w:pPr>
      <w:r w:rsidRPr="00BF0C41">
        <w:t>Patient-Oriented Research</w:t>
      </w:r>
    </w:p>
    <w:p w14:paraId="5D8B1F04" w14:textId="77777777" w:rsidR="00BD2B58" w:rsidRDefault="00BD2B58" w:rsidP="00C364F1">
      <w:pPr>
        <w:rPr>
          <w:rFonts w:cs="Calibri"/>
          <w:lang w:val="en-US"/>
        </w:rPr>
      </w:pPr>
      <w:r w:rsidRPr="00806459">
        <w:t xml:space="preserve">Award Amount: </w:t>
      </w:r>
      <w:r w:rsidRPr="00806459">
        <w:rPr>
          <w:rFonts w:cs="Calibri"/>
          <w:lang w:val="en-US"/>
        </w:rPr>
        <w:t>€</w:t>
      </w:r>
      <w:r w:rsidR="000D3DA1" w:rsidRPr="00A4000F">
        <w:rPr>
          <w:rFonts w:cs="Calibri"/>
          <w:lang w:val="en-US"/>
        </w:rPr>
        <w:t>452,574</w:t>
      </w:r>
    </w:p>
    <w:p w14:paraId="3D31B505" w14:textId="77777777" w:rsidR="00C364F1" w:rsidRPr="00806459" w:rsidRDefault="00C364F1" w:rsidP="00C364F1">
      <w:pPr>
        <w:rPr>
          <w:rFonts w:cs="Calibri"/>
          <w:lang w:val="en-US"/>
        </w:rPr>
      </w:pPr>
      <w:r>
        <w:rPr>
          <w:rFonts w:cs="Calibri"/>
          <w:lang w:val="en-US"/>
        </w:rPr>
        <w:t>Lay summary</w:t>
      </w:r>
    </w:p>
    <w:p w14:paraId="36FA4F1E" w14:textId="748380B4" w:rsidR="00BD2B58" w:rsidRPr="00DF039E" w:rsidRDefault="00BD2B58" w:rsidP="00BD2B58">
      <w:pPr>
        <w:spacing w:after="0" w:line="240" w:lineRule="auto"/>
        <w:rPr>
          <w:rFonts w:eastAsia="Times New Roman" w:cs="Calibri"/>
          <w:color w:val="000000"/>
          <w:lang w:eastAsia="en-IE"/>
        </w:rPr>
      </w:pPr>
      <w:r w:rsidRPr="00DF039E">
        <w:rPr>
          <w:rFonts w:eastAsia="Times New Roman" w:cs="Calibri"/>
          <w:color w:val="000000"/>
          <w:lang w:eastAsia="en-IE"/>
        </w:rPr>
        <w:t>Diabetic foot ulcers (DFU) are chronic, nonhealing wounds that comprise a major complication associated with diabetes and a considerable burden on healthcare costs worldwide. Owing to their chronic nature, DFU are at increased risk of infection, which can lead to devastating consequences for patients such as limb amputation. Conventional treatments are insufficient, and thus new approaches are necessary to prevents wound infection, and provide a stimulus to promote repair.</w:t>
      </w:r>
      <w:r w:rsidRPr="00DF039E">
        <w:rPr>
          <w:rFonts w:eastAsia="Times New Roman" w:cs="Calibri"/>
          <w:color w:val="000000"/>
          <w:lang w:eastAsia="en-IE"/>
        </w:rPr>
        <w:br/>
      </w:r>
      <w:r w:rsidRPr="00DF039E">
        <w:rPr>
          <w:rFonts w:eastAsia="Times New Roman" w:cs="Calibri"/>
          <w:color w:val="000000"/>
          <w:lang w:eastAsia="en-IE"/>
        </w:rPr>
        <w:br/>
        <w:t xml:space="preserve">This project will focus on frontier research to develop a state-of-the-art treatment modality for diabetic wounds. A multi-disciplinary approach will be used to engineer a </w:t>
      </w:r>
      <w:proofErr w:type="spellStart"/>
      <w:r w:rsidRPr="00DF039E">
        <w:rPr>
          <w:rFonts w:eastAsia="Times New Roman" w:cs="Calibri"/>
          <w:color w:val="000000"/>
          <w:lang w:eastAsia="en-IE"/>
        </w:rPr>
        <w:t>bilayered</w:t>
      </w:r>
      <w:proofErr w:type="spellEnd"/>
      <w:r w:rsidRPr="00DF039E">
        <w:rPr>
          <w:rFonts w:eastAsia="Times New Roman" w:cs="Calibri"/>
          <w:color w:val="000000"/>
          <w:lang w:eastAsia="en-IE"/>
        </w:rPr>
        <w:t xml:space="preserve"> Hyaluronic acid hydrogel system with an antimicrobial protective layer to prevent infection, and a rapidly pore-forming layer to promote vascularisation and regeneration of the tissue. A barrier layer decorated with the antimicrobial polysaccharide chitosan will prevent infection, while the underlying pore-forming layer will be decorated with pro-angiogenic ECM moieties that stimulate vascularisation by infiltrating cells. Assessment of therapeutic efficacy in a preclinical model of DFU will establish the potential of this </w:t>
      </w:r>
      <w:proofErr w:type="spellStart"/>
      <w:r w:rsidRPr="00DF039E">
        <w:rPr>
          <w:rFonts w:eastAsia="Times New Roman" w:cs="Calibri"/>
          <w:color w:val="000000"/>
          <w:lang w:eastAsia="en-IE"/>
        </w:rPr>
        <w:t>bilayered</w:t>
      </w:r>
      <w:proofErr w:type="spellEnd"/>
      <w:r w:rsidRPr="00DF039E">
        <w:rPr>
          <w:rFonts w:eastAsia="Times New Roman" w:cs="Calibri"/>
          <w:color w:val="000000"/>
          <w:lang w:eastAsia="en-IE"/>
        </w:rPr>
        <w:t xml:space="preserve"> system to promote re-epithelialisation, tissue vascularization and healing of DFUs. Overall this pioneering project seeks to address gaps in currently available treatment modalities to prevent infection and support vascul</w:t>
      </w:r>
      <w:r w:rsidR="00D35454">
        <w:rPr>
          <w:rFonts w:eastAsia="Times New Roman" w:cs="Calibri"/>
          <w:color w:val="000000"/>
          <w:lang w:eastAsia="en-IE"/>
        </w:rPr>
        <w:t>a</w:t>
      </w:r>
      <w:r w:rsidRPr="00DF039E">
        <w:rPr>
          <w:rFonts w:eastAsia="Times New Roman" w:cs="Calibri"/>
          <w:color w:val="000000"/>
          <w:lang w:eastAsia="en-IE"/>
        </w:rPr>
        <w:t>risation and tissue regeneration, and will provide a significant advancement towards the development of biomaterials-based therapies for the treatment of DFUs.</w:t>
      </w:r>
    </w:p>
    <w:p w14:paraId="3BBA049F" w14:textId="77777777" w:rsidR="00BD2B58" w:rsidRDefault="00BD2B58" w:rsidP="00BD2B58">
      <w:pPr>
        <w:spacing w:after="120" w:line="276" w:lineRule="auto"/>
        <w:rPr>
          <w:sz w:val="24"/>
          <w:szCs w:val="24"/>
        </w:rPr>
      </w:pPr>
    </w:p>
    <w:p w14:paraId="6A500F9E" w14:textId="77777777" w:rsidR="00BD2B58" w:rsidRPr="00806459" w:rsidRDefault="009C5909" w:rsidP="009C5909">
      <w:pPr>
        <w:pStyle w:val="Heading3"/>
      </w:pPr>
      <w:r>
        <w:t xml:space="preserve">3. </w:t>
      </w:r>
      <w:r w:rsidR="00BD2B58" w:rsidRPr="00806459">
        <w:t xml:space="preserve">Lead Applicant: Dr Olga </w:t>
      </w:r>
      <w:proofErr w:type="spellStart"/>
      <w:r w:rsidR="00BD2B58" w:rsidRPr="00806459">
        <w:t>Piskareva</w:t>
      </w:r>
      <w:proofErr w:type="spellEnd"/>
      <w:r w:rsidR="00BD2B58" w:rsidRPr="00806459">
        <w:tab/>
      </w:r>
    </w:p>
    <w:p w14:paraId="1C7401A8" w14:textId="77777777" w:rsidR="00BD2B58" w:rsidRDefault="00BD2B58" w:rsidP="00C364F1">
      <w:r w:rsidRPr="00806459">
        <w:t xml:space="preserve">Project: </w:t>
      </w:r>
      <w:proofErr w:type="spellStart"/>
      <w:r w:rsidRPr="00806459">
        <w:t>OncoVac</w:t>
      </w:r>
      <w:proofErr w:type="spellEnd"/>
      <w:r w:rsidRPr="00806459">
        <w:t>: Development of mRNA vaccines targeting tumour-associated exons of Glypican 2 for adult and paediatric patients</w:t>
      </w:r>
    </w:p>
    <w:p w14:paraId="29705B08" w14:textId="77777777" w:rsidR="00C364F1" w:rsidRPr="00C364F1" w:rsidRDefault="00C364F1" w:rsidP="00C364F1">
      <w:pPr>
        <w:rPr>
          <w:sz w:val="24"/>
          <w:szCs w:val="24"/>
        </w:rPr>
      </w:pPr>
      <w:r w:rsidRPr="00BF0C41">
        <w:t>Patient-Oriented Research</w:t>
      </w:r>
    </w:p>
    <w:p w14:paraId="566102F1" w14:textId="77777777" w:rsidR="00BD2B58" w:rsidRPr="00806459" w:rsidRDefault="00BD2B58" w:rsidP="00C364F1">
      <w:r w:rsidRPr="00806459">
        <w:t xml:space="preserve">Award Amount: </w:t>
      </w:r>
      <w:r w:rsidRPr="00806459">
        <w:rPr>
          <w:rFonts w:cs="Calibri"/>
          <w:lang w:val="en-US"/>
        </w:rPr>
        <w:t>€</w:t>
      </w:r>
      <w:r w:rsidR="000D3DA1" w:rsidRPr="00D602E6">
        <w:rPr>
          <w:rFonts w:cs="Calibri"/>
          <w:lang w:val="en-US"/>
        </w:rPr>
        <w:t>429</w:t>
      </w:r>
      <w:r w:rsidRPr="00806459">
        <w:rPr>
          <w:rFonts w:cs="Calibri"/>
          <w:lang w:val="en-US"/>
        </w:rPr>
        <w:t>,000</w:t>
      </w:r>
    </w:p>
    <w:p w14:paraId="62BACADD" w14:textId="77777777" w:rsidR="009C5909" w:rsidRDefault="009C5909" w:rsidP="00BD2B58">
      <w:pPr>
        <w:spacing w:after="120" w:line="276" w:lineRule="auto"/>
      </w:pPr>
      <w:r>
        <w:t>Lay summary</w:t>
      </w:r>
    </w:p>
    <w:p w14:paraId="33056F08" w14:textId="77777777" w:rsidR="00BD2B58" w:rsidRDefault="00BD2B58" w:rsidP="00BD2B58">
      <w:pPr>
        <w:spacing w:after="120" w:line="276" w:lineRule="auto"/>
      </w:pPr>
      <w:r>
        <w:t xml:space="preserve">Recent advances in ribonucleic acid (mRNA) vaccine development, including the success of COVID-19 mRNA vaccines, have been recognised by the Nobel Prize in Physiology and Medicine 2023. Currently, there are 17 clinical trials for anticancer mRNA vaccine; however, none of them is </w:t>
      </w:r>
      <w:r>
        <w:lastRenderedPageBreak/>
        <w:t>specifically for GPC2-positive tumours, including neuroblastoma (paediatric cancer) and lung cancer, demonstrating the gap in the anti-cancer vaccine development pipeline for adults and children.</w:t>
      </w:r>
    </w:p>
    <w:p w14:paraId="72814B36" w14:textId="77777777" w:rsidR="00BD2B58" w:rsidRDefault="00BD2B58" w:rsidP="00BD2B58">
      <w:pPr>
        <w:spacing w:after="120" w:line="276" w:lineRule="auto"/>
      </w:pPr>
      <w:r>
        <w:t xml:space="preserve">This project aims to develop the first mRNA vaccine against these cancers. We will build upon our recent data demonstrating the high immunogenicity of the selected full-length antigen delivered using RALA peptide.  Specifically, we will focus on the selected antigen parts called exons to be individually targeted in a mRNA vaccine. We will perform an exon screening to verify their cancer-specific expression and to provide a rationale for their targeting. The RALA/mRNA nanoparticles will be characterized for shape, surface charge, stability and immunogenicity. The transfection efficiency of the vaccine will be determined in vitro using DC 2.4 cells (murine dendritic cells) and THP-1 cells (human monocytes). C57 BL/6 mice will receive the vaccine for the immunogenicity studies, and blood samples will be collected to analyse specific antibodies and cytokine secretion. The therapeutic potential of the RALA/mRNA vaccine will be analysed using a metastatic cancer mouse model. Finally, we will evaluate a rationale for combination therapy targeting key pathways in a characteristically synergistic or additive manner using </w:t>
      </w:r>
      <w:proofErr w:type="spellStart"/>
      <w:r>
        <w:t>Vorinostat</w:t>
      </w:r>
      <w:proofErr w:type="spellEnd"/>
      <w:r>
        <w:t>, an FDA-approved member of histone deacetylase inhibitors (</w:t>
      </w:r>
      <w:proofErr w:type="spellStart"/>
      <w:r>
        <w:t>HDACi</w:t>
      </w:r>
      <w:proofErr w:type="spellEnd"/>
      <w:r>
        <w:t>) with a broad spectrum of epigenetic activities. Finally, we will evaluate the regulatory options to ensure an efficient therapy translation to the clinical setting. This will include market analysis, intellectual property, and orphan drug designation applications.</w:t>
      </w:r>
    </w:p>
    <w:p w14:paraId="652F577E" w14:textId="77777777" w:rsidR="00BD2B58" w:rsidRDefault="00BD2B58" w:rsidP="00BD2B58">
      <w:pPr>
        <w:spacing w:after="120" w:line="276" w:lineRule="auto"/>
        <w:rPr>
          <w:sz w:val="24"/>
          <w:szCs w:val="24"/>
        </w:rPr>
      </w:pPr>
    </w:p>
    <w:p w14:paraId="643C66CC" w14:textId="77777777" w:rsidR="00BD2B58" w:rsidRPr="00806459" w:rsidRDefault="009C5909" w:rsidP="009C5909">
      <w:pPr>
        <w:pStyle w:val="Heading3"/>
      </w:pPr>
      <w:r>
        <w:t xml:space="preserve">4. </w:t>
      </w:r>
      <w:r w:rsidR="00BD2B58" w:rsidRPr="00806459">
        <w:t>Lead Applicant: Dr Ailish Malone</w:t>
      </w:r>
    </w:p>
    <w:p w14:paraId="7C407AC5" w14:textId="77777777" w:rsidR="00BD2B58" w:rsidRDefault="00BD2B58" w:rsidP="009C5909">
      <w:r w:rsidRPr="00806459">
        <w:t>Project: Enhancing health, function and participation through rehabilitation for children and young people, and their families, after childhood brain tumours (the Brain-Restore Youth study)</w:t>
      </w:r>
    </w:p>
    <w:p w14:paraId="50B2CF87" w14:textId="77777777" w:rsidR="00C364F1" w:rsidRPr="00C364F1" w:rsidRDefault="00C364F1" w:rsidP="009C5909">
      <w:pPr>
        <w:rPr>
          <w:sz w:val="24"/>
          <w:szCs w:val="24"/>
        </w:rPr>
      </w:pPr>
      <w:r w:rsidRPr="00BF0C41">
        <w:t>Patient-Oriented Research</w:t>
      </w:r>
    </w:p>
    <w:p w14:paraId="76D04089" w14:textId="77777777" w:rsidR="00BD2B58" w:rsidRPr="00806459" w:rsidRDefault="00BD2B58" w:rsidP="009C5909">
      <w:r w:rsidRPr="00806459">
        <w:t>Award Amount: €</w:t>
      </w:r>
      <w:r w:rsidR="000D3DA1" w:rsidRPr="00D602E6">
        <w:t>428,994</w:t>
      </w:r>
    </w:p>
    <w:p w14:paraId="2E48C773" w14:textId="77777777" w:rsidR="00C364F1" w:rsidRDefault="00C364F1" w:rsidP="009C5909">
      <w:pPr>
        <w:rPr>
          <w:rFonts w:eastAsia="Times New Roman" w:cs="Calibri"/>
          <w:color w:val="000000"/>
          <w:lang w:eastAsia="en-IE"/>
        </w:rPr>
      </w:pPr>
      <w:r>
        <w:rPr>
          <w:rFonts w:eastAsia="Times New Roman" w:cs="Calibri"/>
          <w:color w:val="000000"/>
          <w:lang w:eastAsia="en-IE"/>
        </w:rPr>
        <w:t>Lay summary</w:t>
      </w:r>
    </w:p>
    <w:p w14:paraId="39184E09" w14:textId="77777777" w:rsidR="00C364F1" w:rsidRDefault="00C364F1" w:rsidP="00BD2B58">
      <w:pPr>
        <w:spacing w:after="0" w:line="240" w:lineRule="auto"/>
        <w:rPr>
          <w:rFonts w:eastAsia="Times New Roman" w:cs="Calibri"/>
          <w:color w:val="000000"/>
          <w:lang w:eastAsia="en-IE"/>
        </w:rPr>
      </w:pPr>
    </w:p>
    <w:p w14:paraId="74767F24" w14:textId="77777777" w:rsidR="00BD2B58" w:rsidRPr="00DF039E" w:rsidRDefault="00BD2B58" w:rsidP="00BD2B58">
      <w:pPr>
        <w:spacing w:after="0" w:line="240" w:lineRule="auto"/>
        <w:rPr>
          <w:rFonts w:eastAsia="Times New Roman" w:cs="Calibri"/>
          <w:color w:val="000000"/>
          <w:lang w:eastAsia="en-IE"/>
        </w:rPr>
      </w:pPr>
      <w:r w:rsidRPr="00DF039E">
        <w:rPr>
          <w:rFonts w:eastAsia="Times New Roman" w:cs="Calibri"/>
          <w:color w:val="000000"/>
          <w:lang w:eastAsia="en-IE"/>
        </w:rPr>
        <w:t xml:space="preserve">Brain tumours are the most common solid cancers in childhood, affecting 45 children in Ireland annually. Thanks to improved surgical and medical treatment, three in four children survive at least ten years. Irrespective of survival longevity, brain tumours can cause significant ongoing challenges including fatigue, motor impairment, cognitive difficulties, and family distress. The brain injury caused by a tumour should be amenable to rehabilitation, defined by the World Health Organisation as “a set of interventions designed to optimise functioning and reduce disability in individuals with health conditions in interaction with their environment”. However, due to the complexity and variability of the impact of brain tumours, rehabilitation needs are poorly understood, under-detected, and inadequately provided for by services, with profound implications for health, function and participation. </w:t>
      </w:r>
      <w:r w:rsidRPr="00DF039E">
        <w:rPr>
          <w:rFonts w:eastAsia="Times New Roman" w:cs="Calibri"/>
          <w:color w:val="000000"/>
          <w:lang w:eastAsia="en-IE"/>
        </w:rPr>
        <w:br/>
      </w:r>
      <w:r w:rsidRPr="00DF039E">
        <w:rPr>
          <w:rFonts w:eastAsia="Times New Roman" w:cs="Calibri"/>
          <w:color w:val="000000"/>
          <w:lang w:eastAsia="en-IE"/>
        </w:rPr>
        <w:br/>
        <w:t>This study aims to explore and understand rehabilitation needs after a brain tumour in childhood, determine how these needs should be assessed and monitored after tumour treatment, and use the findings to co-design a pathway for rehabilitation.</w:t>
      </w:r>
      <w:r w:rsidRPr="00DF039E">
        <w:rPr>
          <w:rFonts w:eastAsia="Times New Roman" w:cs="Calibri"/>
          <w:color w:val="000000"/>
          <w:lang w:eastAsia="en-IE"/>
        </w:rPr>
        <w:br/>
      </w:r>
      <w:r w:rsidRPr="00DF039E">
        <w:rPr>
          <w:rFonts w:eastAsia="Times New Roman" w:cs="Calibri"/>
          <w:color w:val="000000"/>
          <w:lang w:eastAsia="en-IE"/>
        </w:rPr>
        <w:br/>
        <w:t>This proposal comprises:</w:t>
      </w:r>
      <w:r w:rsidRPr="00DF039E">
        <w:rPr>
          <w:rFonts w:eastAsia="Times New Roman" w:cs="Calibri"/>
          <w:color w:val="000000"/>
          <w:lang w:eastAsia="en-IE"/>
        </w:rPr>
        <w:br/>
        <w:t>A qualitative study to explore current perspectives and experiences of rehabilitation with children and young people (CYP) who had a childhood brain tumour, families, and healthcare professionals; with findings mapped to the Theoretical Domains Framework;</w:t>
      </w:r>
      <w:r w:rsidRPr="00DF039E">
        <w:rPr>
          <w:rFonts w:eastAsia="Times New Roman" w:cs="Calibri"/>
          <w:color w:val="000000"/>
          <w:lang w:eastAsia="en-IE"/>
        </w:rPr>
        <w:br/>
      </w:r>
      <w:r w:rsidRPr="00DF039E">
        <w:rPr>
          <w:rFonts w:eastAsia="Times New Roman" w:cs="Calibri"/>
          <w:color w:val="000000"/>
          <w:lang w:eastAsia="en-IE"/>
        </w:rPr>
        <w:lastRenderedPageBreak/>
        <w:t>A prospective study of structured surveillance of rehabilitation needs in CYP in the first year after initial treatment, using standardised scales for activity limitations and participation restrictions; to determine how to assess and monitor rehabilitation needs, including the acceptability and feasibility of the assessments;</w:t>
      </w:r>
      <w:r w:rsidRPr="00DF039E">
        <w:rPr>
          <w:rFonts w:eastAsia="Times New Roman" w:cs="Calibri"/>
          <w:color w:val="000000"/>
          <w:lang w:eastAsia="en-IE"/>
        </w:rPr>
        <w:br/>
        <w:t>Co-design of a pathway for rehabilitation after childhood brain tumours, involving all stakeholders (CYP, families, healthcare professionals, policy makers; public and patient involvement panellists), using participatory action research.</w:t>
      </w:r>
      <w:r w:rsidRPr="00DF039E">
        <w:rPr>
          <w:rFonts w:eastAsia="Times New Roman" w:cs="Calibri"/>
          <w:color w:val="000000"/>
          <w:lang w:eastAsia="en-IE"/>
        </w:rPr>
        <w:br/>
      </w:r>
      <w:r w:rsidRPr="00DF039E">
        <w:rPr>
          <w:rFonts w:eastAsia="Times New Roman" w:cs="Calibri"/>
          <w:color w:val="000000"/>
          <w:lang w:eastAsia="en-IE"/>
        </w:rPr>
        <w:br/>
        <w:t>The findings will inform understanding of clinical need and rehabilitation provision for childhood brain tumours by enabling CYP and families to achieve their goals for participation and independence.</w:t>
      </w:r>
    </w:p>
    <w:p w14:paraId="00F87A0C" w14:textId="77777777" w:rsidR="00BD2B58" w:rsidRPr="00DF039E" w:rsidRDefault="00BD2B58" w:rsidP="00BD2B58">
      <w:pPr>
        <w:rPr>
          <w:rFonts w:cs="Calibri"/>
          <w:b/>
          <w:bCs/>
        </w:rPr>
      </w:pPr>
    </w:p>
    <w:p w14:paraId="576EDC79" w14:textId="77777777" w:rsidR="00BD2B58" w:rsidRPr="00806459" w:rsidRDefault="009C5909" w:rsidP="009C5909">
      <w:pPr>
        <w:pStyle w:val="Heading3"/>
      </w:pPr>
      <w:r>
        <w:t xml:space="preserve">5. </w:t>
      </w:r>
      <w:r w:rsidR="00BD2B58" w:rsidRPr="00806459">
        <w:t>Lead Applicant: Professor David Cotter</w:t>
      </w:r>
      <w:r w:rsidR="00BD2B58" w:rsidRPr="00806459">
        <w:tab/>
      </w:r>
    </w:p>
    <w:p w14:paraId="530CFE0D" w14:textId="77777777" w:rsidR="00BD2B58" w:rsidRDefault="00BD2B58" w:rsidP="009C5909">
      <w:r w:rsidRPr="00806459">
        <w:t xml:space="preserve">Project: </w:t>
      </w:r>
      <w:proofErr w:type="spellStart"/>
      <w:r w:rsidRPr="00806459">
        <w:t>BIOmarkers</w:t>
      </w:r>
      <w:proofErr w:type="spellEnd"/>
      <w:r w:rsidRPr="00806459">
        <w:t xml:space="preserve"> of Treatment Response in Psychosis (BIOTRIP): </w:t>
      </w:r>
      <w:proofErr w:type="gramStart"/>
      <w:r w:rsidRPr="00806459">
        <w:t>An</w:t>
      </w:r>
      <w:proofErr w:type="gramEnd"/>
      <w:r w:rsidRPr="00806459">
        <w:t xml:space="preserve"> Proteomic Investigation of Complement and Coagulation Pathway Proteins for prediction of outcome in First Episode Psychosis</w:t>
      </w:r>
    </w:p>
    <w:p w14:paraId="347B13D6" w14:textId="77777777" w:rsidR="00C364F1" w:rsidRPr="00C364F1" w:rsidRDefault="00C364F1" w:rsidP="009C5909">
      <w:pPr>
        <w:rPr>
          <w:sz w:val="24"/>
          <w:szCs w:val="24"/>
        </w:rPr>
      </w:pPr>
      <w:r w:rsidRPr="00BF0C41">
        <w:t>Patient-Oriented Research</w:t>
      </w:r>
    </w:p>
    <w:p w14:paraId="70B4CDC8" w14:textId="77777777" w:rsidR="00BD2B58" w:rsidRPr="00806459" w:rsidRDefault="00BD2B58" w:rsidP="009C5909">
      <w:r w:rsidRPr="00806459">
        <w:t xml:space="preserve">Award Amount: </w:t>
      </w:r>
      <w:r w:rsidRPr="00806459">
        <w:rPr>
          <w:rFonts w:cs="Calibri"/>
          <w:lang w:val="en-US"/>
        </w:rPr>
        <w:t>€</w:t>
      </w:r>
      <w:r w:rsidR="000D3DA1" w:rsidRPr="00C459D9">
        <w:rPr>
          <w:rFonts w:cs="Calibri"/>
          <w:lang w:val="en-US"/>
        </w:rPr>
        <w:t>412,283</w:t>
      </w:r>
    </w:p>
    <w:p w14:paraId="63477813" w14:textId="77777777" w:rsidR="00CC60DD" w:rsidRDefault="005A521A" w:rsidP="00BD2B58">
      <w:r>
        <w:t>Lay summary</w:t>
      </w:r>
    </w:p>
    <w:p w14:paraId="47D66C02" w14:textId="77777777" w:rsidR="00BD2B58" w:rsidRDefault="00BD2B58" w:rsidP="00BD2B58">
      <w:r>
        <w:t>Schizophrenia is a relapsing psychotic illness with onset in young adulthood. The global burden of schizophrenia is large and increasing, accounting for 1.5% of Disability Adjusted life years among adults aged 25-49. The treatment goals of schizophrenia are to intervene as early as possible with an effective treatment to reduce morbidity and prevent further relapse and deterioration.</w:t>
      </w:r>
    </w:p>
    <w:p w14:paraId="07FA7347" w14:textId="77777777" w:rsidR="00BD2B58" w:rsidRDefault="00BD2B58" w:rsidP="00BD2B58">
      <w:r>
        <w:t>Unfortunately more than 30% of people with schizophrenia do not respond to their first antipsychotic medication, and we currently have no biomarkers to predict response. Delay in finding the correct antipsychotic can lead to relapse and poorer outcomes.</w:t>
      </w:r>
    </w:p>
    <w:p w14:paraId="2E252982" w14:textId="77777777" w:rsidR="00BD2B58" w:rsidRDefault="00BD2B58" w:rsidP="00BD2B58">
      <w:r>
        <w:t xml:space="preserve">Research from our group over several years provides novel evidence that a set of proteins belonging to the complement and coagulation pathways are altered in early psychosis. These proteins have important roles in modulating inflammation and in the regular turn-over of synapses. Recently we have uncovered exciting preliminary evidence that elevated levels of certain complement and coagulation proteins are associated with better response to treatment with one antipsychotic drug, </w:t>
      </w:r>
      <w:proofErr w:type="spellStart"/>
      <w:r>
        <w:t>amisulpiride</w:t>
      </w:r>
      <w:proofErr w:type="spellEnd"/>
      <w:r>
        <w:t>, and improved outcomes among young people with first episode of psychosis. These findings were based on analyses from the EU-funded OPTIMISE-study.</w:t>
      </w:r>
    </w:p>
    <w:p w14:paraId="62B63B56" w14:textId="77777777" w:rsidR="00BD2B58" w:rsidRPr="00027833" w:rsidRDefault="00BD2B58" w:rsidP="00BD2B58">
      <w:r>
        <w:t>In the current proposal, we will extend these important findings to investigate prediction of response to a range of other antipsychotic medications in five large international cohorts of patients with psychosis, provided by our collaborators. We will use state-of-the-art mass spectrometry-based methods to investigate baseline levels and changes in these proteins in relation to treatment response and clinical outcomes. The study will incorporate public &amp; patient partnership and has much potential for knowledge translation. Since there are no current biomarkers of treatment response in routine clinical use, the BIOTRIP-study will advance the field of precision medicine in psychosis with the aim of facilitating earlier and more effective treatments and better outcomes for affected individuals.</w:t>
      </w:r>
    </w:p>
    <w:p w14:paraId="040F4DA7" w14:textId="77777777" w:rsidR="00BD2B58" w:rsidRDefault="00BD2B58" w:rsidP="00BD2B58"/>
    <w:p w14:paraId="5A22B95D" w14:textId="77777777" w:rsidR="00BD2B58" w:rsidRPr="00806459" w:rsidRDefault="009C5909" w:rsidP="009C5909">
      <w:pPr>
        <w:pStyle w:val="Heading3"/>
      </w:pPr>
      <w:r>
        <w:lastRenderedPageBreak/>
        <w:t xml:space="preserve">6. </w:t>
      </w:r>
      <w:r w:rsidR="00BD2B58" w:rsidRPr="00806459">
        <w:t>Lead Applicant: Professor Fergal O'Brien</w:t>
      </w:r>
      <w:r w:rsidR="00BD2B58" w:rsidRPr="00806459">
        <w:tab/>
      </w:r>
    </w:p>
    <w:p w14:paraId="012DF962" w14:textId="77777777" w:rsidR="00BD2B58" w:rsidRDefault="00BD2B58" w:rsidP="009C5909">
      <w:r w:rsidRPr="00806459">
        <w:t>Project: Gene-activated scaffolds for the treatment of Epidermolysis Bullosa</w:t>
      </w:r>
    </w:p>
    <w:p w14:paraId="5BC4DAD9" w14:textId="77777777" w:rsidR="00C364F1" w:rsidRPr="009C5909" w:rsidRDefault="00C364F1" w:rsidP="009C5909">
      <w:pPr>
        <w:rPr>
          <w:sz w:val="24"/>
          <w:szCs w:val="24"/>
        </w:rPr>
      </w:pPr>
      <w:r w:rsidRPr="00BF0C41">
        <w:t>Patient-Oriented Research</w:t>
      </w:r>
    </w:p>
    <w:p w14:paraId="2A0CA428" w14:textId="77777777" w:rsidR="00BD2B58" w:rsidRPr="00806459" w:rsidRDefault="00BD2B58" w:rsidP="009C5909">
      <w:r w:rsidRPr="00806459">
        <w:t xml:space="preserve">Award Amount: </w:t>
      </w:r>
      <w:r w:rsidRPr="00806459">
        <w:rPr>
          <w:rFonts w:cs="Calibri"/>
          <w:lang w:val="en-US"/>
        </w:rPr>
        <w:t>€</w:t>
      </w:r>
      <w:r w:rsidR="000D3DA1" w:rsidRPr="00CB357D">
        <w:rPr>
          <w:rFonts w:cs="Calibri"/>
          <w:lang w:val="en-US"/>
        </w:rPr>
        <w:t>428,830</w:t>
      </w:r>
    </w:p>
    <w:p w14:paraId="420251FF" w14:textId="77777777" w:rsidR="00CC60DD" w:rsidRDefault="00CC60DD" w:rsidP="00BD2B58">
      <w:pPr>
        <w:spacing w:after="0" w:line="240" w:lineRule="auto"/>
        <w:rPr>
          <w:rFonts w:eastAsia="Times New Roman" w:cs="Calibri"/>
          <w:color w:val="000000"/>
          <w:lang w:eastAsia="en-IE"/>
        </w:rPr>
      </w:pPr>
      <w:r>
        <w:rPr>
          <w:rFonts w:eastAsia="Times New Roman" w:cs="Calibri"/>
          <w:color w:val="000000"/>
          <w:lang w:eastAsia="en-IE"/>
        </w:rPr>
        <w:t>Lay summary</w:t>
      </w:r>
    </w:p>
    <w:p w14:paraId="6E1077B4" w14:textId="77777777" w:rsidR="00CC60DD" w:rsidRDefault="00CC60DD" w:rsidP="00BD2B58">
      <w:pPr>
        <w:spacing w:after="0" w:line="240" w:lineRule="auto"/>
        <w:rPr>
          <w:rFonts w:eastAsia="Times New Roman" w:cs="Calibri"/>
          <w:color w:val="000000"/>
          <w:lang w:eastAsia="en-IE"/>
        </w:rPr>
      </w:pPr>
    </w:p>
    <w:p w14:paraId="08CD2CF4" w14:textId="77777777" w:rsidR="00BD2B58" w:rsidRPr="00DF039E" w:rsidRDefault="00BD2B58" w:rsidP="00BD2B58">
      <w:pPr>
        <w:spacing w:after="0" w:line="240" w:lineRule="auto"/>
        <w:rPr>
          <w:rFonts w:eastAsia="Times New Roman" w:cs="Calibri"/>
          <w:color w:val="000000"/>
          <w:lang w:eastAsia="en-IE"/>
        </w:rPr>
      </w:pPr>
      <w:r w:rsidRPr="00DF039E">
        <w:rPr>
          <w:rFonts w:eastAsia="Times New Roman" w:cs="Calibri"/>
          <w:color w:val="000000"/>
          <w:lang w:eastAsia="en-IE"/>
        </w:rPr>
        <w:t xml:space="preserve">Epidermolysis bullosa (EB) is a genetic disorder typified by ulcerated skin blisters, open wounds, and bacterial infections of the wounds, inflicting significant pain on patients. Diverse gene mutations precipitate varying frequencies and severities of wound manifestations. The gravest forms of EB can necessitate up to four hours daily for wound care, demanding substantial caregiver support. Patients with EB consider 'reducing the number and severity of wounds' as the paramount treatment factor for enhancing their life quality. </w:t>
      </w:r>
      <w:r w:rsidRPr="00DF039E">
        <w:rPr>
          <w:rFonts w:eastAsia="Times New Roman" w:cs="Calibri"/>
          <w:color w:val="000000"/>
          <w:lang w:eastAsia="en-IE"/>
        </w:rPr>
        <w:br/>
      </w:r>
      <w:r w:rsidRPr="00DF039E">
        <w:rPr>
          <w:rFonts w:eastAsia="Times New Roman" w:cs="Calibri"/>
          <w:color w:val="000000"/>
          <w:lang w:eastAsia="en-IE"/>
        </w:rPr>
        <w:br/>
        <w:t xml:space="preserve">The treatment for patients with EB is limited. The recent FDA approval of the first topical gene therapy, </w:t>
      </w:r>
      <w:proofErr w:type="spellStart"/>
      <w:r w:rsidRPr="00DF039E">
        <w:rPr>
          <w:rFonts w:eastAsia="Times New Roman" w:cs="Calibri"/>
          <w:color w:val="000000"/>
          <w:lang w:eastAsia="en-IE"/>
        </w:rPr>
        <w:t>Vyjuvek</w:t>
      </w:r>
      <w:proofErr w:type="spellEnd"/>
      <w:r w:rsidRPr="00DF039E">
        <w:rPr>
          <w:rFonts w:eastAsia="Times New Roman" w:cs="Calibri"/>
          <w:color w:val="000000"/>
          <w:lang w:eastAsia="en-IE"/>
        </w:rPr>
        <w:t xml:space="preserve">, developed by Krystal Biotech, underscores the potential of gene therapies in this field. Nevertheless, a major constraint with the currently approved therapies is their reliance on viral vectors to deliver genetic material to cells, which often provoke strong immunogenic reactions. Furthermore, whilst gene therapy tackles the root of the disease, it does not address associated consequences, such as bacterial infections. </w:t>
      </w:r>
      <w:r w:rsidRPr="00DF039E">
        <w:rPr>
          <w:rFonts w:eastAsia="Times New Roman" w:cs="Calibri"/>
          <w:color w:val="000000"/>
          <w:lang w:eastAsia="en-IE"/>
        </w:rPr>
        <w:br/>
      </w:r>
      <w:r w:rsidRPr="00DF039E">
        <w:rPr>
          <w:rFonts w:eastAsia="Times New Roman" w:cs="Calibri"/>
          <w:color w:val="000000"/>
          <w:lang w:eastAsia="en-IE"/>
        </w:rPr>
        <w:br/>
        <w:t xml:space="preserve">We propose to develop a gene-activated scaffold as a new generation bioactive dressing or implant for the treatment of EB. These multifunctional scaffolds mimic the structure of human skin while reducing bacterial infections and, most importantly, will deliver gene therapies to correct genes affected by the disease. The use of scaffold and non-viral vectors facilitates controlled, local delivery with minimal immunogenic reaction. Upon implantation, the patient’s own cells will migrate towards the scaffolds and become transfected with the nanoparticles containing the correcting genetic cargoes which encode for the specific proteins, which are affected in Dystrophic and Junctional EB.  </w:t>
      </w:r>
      <w:r w:rsidRPr="00DF039E">
        <w:rPr>
          <w:rFonts w:eastAsia="Times New Roman" w:cs="Calibri"/>
          <w:color w:val="000000"/>
          <w:lang w:eastAsia="en-IE"/>
        </w:rPr>
        <w:br/>
      </w:r>
      <w:r w:rsidRPr="00DF039E">
        <w:rPr>
          <w:rFonts w:eastAsia="Times New Roman" w:cs="Calibri"/>
          <w:color w:val="000000"/>
          <w:lang w:eastAsia="en-IE"/>
        </w:rPr>
        <w:br/>
        <w:t>A pivotal aspect of this research is to involve patients and carers in the governance, design and dissemination phases to ensure this technology is eventually translated to benefit those with chronic  wound pain due to EB, and to allow patient input to influence our research strategy.</w:t>
      </w:r>
    </w:p>
    <w:p w14:paraId="42424A28" w14:textId="77777777" w:rsidR="0065760F" w:rsidRDefault="0065760F" w:rsidP="001827BC">
      <w:pPr>
        <w:spacing w:after="120" w:line="276" w:lineRule="auto"/>
      </w:pPr>
    </w:p>
    <w:p w14:paraId="0423BF3F" w14:textId="77777777" w:rsidR="00BD2B58" w:rsidRDefault="00BD2B58" w:rsidP="00740D0D">
      <w:pPr>
        <w:spacing w:before="120" w:after="120" w:line="276" w:lineRule="auto"/>
      </w:pPr>
    </w:p>
    <w:p w14:paraId="6A6C77C6" w14:textId="77777777" w:rsidR="00295F3A" w:rsidRPr="00866F12" w:rsidRDefault="009C5909" w:rsidP="009C5909">
      <w:pPr>
        <w:pStyle w:val="Heading3"/>
      </w:pPr>
      <w:r>
        <w:t xml:space="preserve">7. </w:t>
      </w:r>
      <w:r w:rsidR="00295F3A" w:rsidRPr="00866F12">
        <w:t>Lead Applicant: Dr Jennifer Ryan</w:t>
      </w:r>
      <w:r w:rsidR="00295F3A" w:rsidRPr="00866F12">
        <w:tab/>
      </w:r>
    </w:p>
    <w:p w14:paraId="5E3BE75B" w14:textId="77777777" w:rsidR="00295F3A" w:rsidRDefault="00295F3A" w:rsidP="009C5909">
      <w:r w:rsidRPr="00866F12">
        <w:t>Project: Development of implementation strategies to promote an evidence-based approach to prevention of musculoskeletal complications among children with cerebral palsy; a mixed methods study.</w:t>
      </w:r>
    </w:p>
    <w:p w14:paraId="3B2774A3" w14:textId="77777777" w:rsidR="00295F3A" w:rsidRPr="00295F3A" w:rsidRDefault="00295F3A" w:rsidP="009C5909">
      <w:r>
        <w:t>Health Services Research</w:t>
      </w:r>
    </w:p>
    <w:p w14:paraId="73B25E3D" w14:textId="77777777" w:rsidR="00295F3A" w:rsidRPr="00866F12" w:rsidRDefault="00295F3A" w:rsidP="009C5909">
      <w:r w:rsidRPr="00866F12">
        <w:t xml:space="preserve">Award Amount: </w:t>
      </w:r>
      <w:r w:rsidRPr="00866F12">
        <w:rPr>
          <w:rFonts w:cs="Calibri"/>
          <w:color w:val="000000"/>
        </w:rPr>
        <w:t>€</w:t>
      </w:r>
      <w:r w:rsidR="000D3DA1" w:rsidRPr="00CB357D">
        <w:rPr>
          <w:rFonts w:cs="Calibri"/>
          <w:color w:val="000000"/>
        </w:rPr>
        <w:t>412,450</w:t>
      </w:r>
    </w:p>
    <w:p w14:paraId="1CD63FE0" w14:textId="77777777" w:rsidR="00295F3A" w:rsidRPr="00727C4F" w:rsidRDefault="00295F3A" w:rsidP="00295F3A">
      <w:pPr>
        <w:rPr>
          <w:rFonts w:cs="Calibri"/>
        </w:rPr>
      </w:pPr>
      <w:r w:rsidRPr="00727C4F">
        <w:rPr>
          <w:rFonts w:cs="Calibri"/>
        </w:rPr>
        <w:t xml:space="preserve">Cerebral palsy (CP) is the leading cause of child-onset physical disability worldwide. Children with CP frequently experience secondary musculoskeletal complications such as hip dislocation, which result in pain, reduced function and reduced quality of life. There is consistent evidence internationally that population-based surveillance programmes, involving regular physiotherapy-led assessments and x-rays, reduce the incidence of musculoskeletal complications. Despite this, there is no uniformly implemented surveillance programme for children with CP on the island of Ireland. </w:t>
      </w:r>
      <w:r w:rsidRPr="00727C4F">
        <w:rPr>
          <w:rFonts w:cs="Calibri"/>
        </w:rPr>
        <w:lastRenderedPageBreak/>
        <w:t>Further, there is no consistent approach to supporting health professionals to implement such a programme. Understanding the local context and needs of all stakeholders is essential to develop implementation strategies that reduce the gap between evidence and clinical practice.</w:t>
      </w:r>
    </w:p>
    <w:p w14:paraId="625D35A3" w14:textId="77777777" w:rsidR="00295F3A" w:rsidRPr="00727C4F" w:rsidRDefault="00295F3A" w:rsidP="00295F3A">
      <w:pPr>
        <w:rPr>
          <w:rFonts w:cs="Calibri"/>
        </w:rPr>
      </w:pPr>
      <w:r w:rsidRPr="00727C4F">
        <w:rPr>
          <w:rFonts w:cs="Calibri"/>
        </w:rPr>
        <w:t>Objectives are to:</w:t>
      </w:r>
    </w:p>
    <w:p w14:paraId="2CDF9013" w14:textId="77777777" w:rsidR="00295F3A" w:rsidRPr="00727C4F" w:rsidRDefault="00295F3A" w:rsidP="00295F3A">
      <w:pPr>
        <w:pStyle w:val="ListParagraph"/>
        <w:numPr>
          <w:ilvl w:val="0"/>
          <w:numId w:val="13"/>
        </w:numPr>
        <w:spacing w:line="278" w:lineRule="auto"/>
        <w:rPr>
          <w:rFonts w:cs="Calibri"/>
        </w:rPr>
      </w:pPr>
      <w:r w:rsidRPr="00727C4F">
        <w:rPr>
          <w:rFonts w:cs="Calibri"/>
        </w:rPr>
        <w:t>describe implementation of regional surveillance programmes on the island of Ireland including the profile of children and outcomes</w:t>
      </w:r>
    </w:p>
    <w:p w14:paraId="17A6E4EC" w14:textId="77777777" w:rsidR="00295F3A" w:rsidRPr="00727C4F" w:rsidRDefault="00295F3A" w:rsidP="00295F3A">
      <w:pPr>
        <w:pStyle w:val="ListParagraph"/>
        <w:numPr>
          <w:ilvl w:val="0"/>
          <w:numId w:val="13"/>
        </w:numPr>
        <w:spacing w:line="278" w:lineRule="auto"/>
        <w:rPr>
          <w:rFonts w:cs="Calibri"/>
        </w:rPr>
      </w:pPr>
      <w:r w:rsidRPr="00727C4F">
        <w:rPr>
          <w:rFonts w:cs="Calibri"/>
        </w:rPr>
        <w:t>explore barriers and facilitators to implementing surveillance programmes</w:t>
      </w:r>
    </w:p>
    <w:p w14:paraId="78A8F82A" w14:textId="77777777" w:rsidR="00295F3A" w:rsidRPr="00727C4F" w:rsidRDefault="00295F3A" w:rsidP="00295F3A">
      <w:pPr>
        <w:pStyle w:val="ListParagraph"/>
        <w:numPr>
          <w:ilvl w:val="0"/>
          <w:numId w:val="13"/>
        </w:numPr>
        <w:spacing w:line="278" w:lineRule="auto"/>
        <w:rPr>
          <w:rFonts w:cs="Calibri"/>
        </w:rPr>
      </w:pPr>
      <w:r w:rsidRPr="00727C4F">
        <w:rPr>
          <w:rFonts w:cs="Calibri"/>
        </w:rPr>
        <w:t>explore acceptability of participating in a surveillance programme from the perspective of families and children with CP</w:t>
      </w:r>
    </w:p>
    <w:p w14:paraId="05455993" w14:textId="77777777" w:rsidR="00295F3A" w:rsidRPr="00727C4F" w:rsidRDefault="00295F3A" w:rsidP="00295F3A">
      <w:pPr>
        <w:pStyle w:val="ListParagraph"/>
        <w:numPr>
          <w:ilvl w:val="0"/>
          <w:numId w:val="13"/>
        </w:numPr>
        <w:spacing w:line="278" w:lineRule="auto"/>
        <w:rPr>
          <w:rFonts w:cs="Calibri"/>
        </w:rPr>
      </w:pPr>
      <w:r w:rsidRPr="00727C4F">
        <w:rPr>
          <w:rFonts w:cs="Calibri"/>
        </w:rPr>
        <w:t>develop implementation strategies to promote uniform implementation of a surveillance programme for children with CP on the island of Ireland</w:t>
      </w:r>
    </w:p>
    <w:p w14:paraId="508A08AF" w14:textId="77777777" w:rsidR="00295F3A" w:rsidRPr="00727C4F" w:rsidRDefault="00295F3A" w:rsidP="00295F3A">
      <w:pPr>
        <w:rPr>
          <w:rFonts w:cs="Calibri"/>
        </w:rPr>
      </w:pPr>
      <w:r w:rsidRPr="00727C4F">
        <w:rPr>
          <w:rFonts w:cs="Calibri"/>
        </w:rPr>
        <w:t>We will use a convergent parallel mixed-methods design to address the objectives across four work packages. We will describe implementation of regional surveillance programmes using routinely collected data. We will interview health professionals across five regions in Ireland and the United Kingdom to understand barriers and facilitators to implementation. We will interview parents and children with CP who participated in surveillance programmes. We will use Implementation Mapping to guide development of implementation strategies based on our findings.</w:t>
      </w:r>
    </w:p>
    <w:p w14:paraId="5A7C08D3" w14:textId="77777777" w:rsidR="00295F3A" w:rsidRPr="00727C4F" w:rsidRDefault="00295F3A" w:rsidP="00295F3A">
      <w:pPr>
        <w:rPr>
          <w:rFonts w:cs="Calibri"/>
        </w:rPr>
      </w:pPr>
      <w:r w:rsidRPr="00727C4F">
        <w:rPr>
          <w:rFonts w:cs="Calibri"/>
        </w:rPr>
        <w:t>By facilitating implementation of a uniform evidence-based approach to early detection and prevention of secondary musculoskeletal complications among children with CP on the island of Ireland, this project will improve equity of access to care and outcomes for children with CP.</w:t>
      </w:r>
    </w:p>
    <w:p w14:paraId="636B6C07" w14:textId="77777777" w:rsidR="00295F3A" w:rsidRDefault="00295F3A" w:rsidP="00295F3A"/>
    <w:p w14:paraId="2B1C3F88" w14:textId="77777777" w:rsidR="00295F3A" w:rsidRPr="00A75244" w:rsidRDefault="009C5909" w:rsidP="009C5909">
      <w:pPr>
        <w:pStyle w:val="Heading3"/>
      </w:pPr>
      <w:r>
        <w:t xml:space="preserve">8. </w:t>
      </w:r>
      <w:r w:rsidR="00295F3A" w:rsidRPr="00A75244">
        <w:t>Lead Applicant: Dr Frank Moriarty</w:t>
      </w:r>
      <w:r w:rsidR="00295F3A" w:rsidRPr="00A75244">
        <w:tab/>
      </w:r>
    </w:p>
    <w:p w14:paraId="75BE08F6" w14:textId="77777777" w:rsidR="00295F3A" w:rsidRDefault="00295F3A" w:rsidP="009C5909">
      <w:r w:rsidRPr="00A75244">
        <w:t>Project: Enhancing Prescribing In Chronic kidney disease in primary care (EPIC)</w:t>
      </w:r>
    </w:p>
    <w:p w14:paraId="166ACD4A" w14:textId="77777777" w:rsidR="00295F3A" w:rsidRPr="00295F3A" w:rsidRDefault="00295F3A" w:rsidP="009C5909">
      <w:r>
        <w:t>Health Services Research</w:t>
      </w:r>
    </w:p>
    <w:p w14:paraId="1A52568B" w14:textId="77777777" w:rsidR="00295F3A" w:rsidRPr="009C5909" w:rsidRDefault="00295F3A" w:rsidP="009C5909">
      <w:r w:rsidRPr="009C5909">
        <w:t>Award Amount: €</w:t>
      </w:r>
      <w:r w:rsidR="000D3DA1" w:rsidRPr="00DF6E9B">
        <w:t>436,500</w:t>
      </w:r>
    </w:p>
    <w:p w14:paraId="63CED0FC" w14:textId="77777777" w:rsidR="009C5909" w:rsidRDefault="009C5909" w:rsidP="00295F3A">
      <w:pPr>
        <w:rPr>
          <w:rFonts w:cs="Calibri"/>
        </w:rPr>
      </w:pPr>
      <w:r>
        <w:rPr>
          <w:rFonts w:cs="Calibri"/>
        </w:rPr>
        <w:t xml:space="preserve">Lay summary </w:t>
      </w:r>
    </w:p>
    <w:p w14:paraId="1034401F" w14:textId="77777777" w:rsidR="00295F3A" w:rsidRPr="00727C4F" w:rsidRDefault="00295F3A" w:rsidP="00295F3A">
      <w:pPr>
        <w:rPr>
          <w:rFonts w:cs="Calibri"/>
        </w:rPr>
      </w:pPr>
      <w:r w:rsidRPr="00727C4F">
        <w:rPr>
          <w:rFonts w:cs="Calibri"/>
        </w:rPr>
        <w:t>Medication-related harm is a significant challenge globally.  As so many medicines are excreted renally, risk of harm is increased in renal impairment and chronic kidney disease (CKD). CKD affects 100 million Europeans, costing €140 billion annually. CKD occurs organically or because of medication-related harm, and increases susceptibility to further harm, to the kidneys and more generally. Many medications require deprescribing (dose reduction, stopping, or substitution) to avoid medication-related harm. Despite its importance, there is little evidence and lack of guidance on identifying medications to consider deprescribing for patients with CKD in primary care.</w:t>
      </w:r>
    </w:p>
    <w:p w14:paraId="3F8CA04E" w14:textId="77777777" w:rsidR="00295F3A" w:rsidRPr="00727C4F" w:rsidRDefault="00295F3A" w:rsidP="00295F3A">
      <w:pPr>
        <w:rPr>
          <w:rFonts w:cs="Calibri"/>
        </w:rPr>
      </w:pPr>
      <w:r w:rsidRPr="00727C4F">
        <w:rPr>
          <w:rFonts w:cs="Calibri"/>
        </w:rPr>
        <w:t>This project aims to (1) develop a comprehensive set of indicators to guide medicines optimisation and deprescribing in people with CKD in primary care, and (2) understand the opportunities for, occurrence of, and process of deprescribing for people with CKD in primary care.</w:t>
      </w:r>
    </w:p>
    <w:p w14:paraId="10EEAF46" w14:textId="77777777" w:rsidR="00295F3A" w:rsidRPr="00727C4F" w:rsidRDefault="00295F3A" w:rsidP="00295F3A">
      <w:pPr>
        <w:rPr>
          <w:rFonts w:cs="Calibri"/>
        </w:rPr>
      </w:pPr>
      <w:r w:rsidRPr="00727C4F">
        <w:rPr>
          <w:rFonts w:cs="Calibri"/>
        </w:rPr>
        <w:t xml:space="preserve">This will be achieved through five studies across three work-packages. Study-1 is a scoping review of current evidence/recommendations on  medications to deprescribe for patients with CKD in primary care. Study-2 is a modified Delphi study to achieve expert consensus on a comprehensive set of indicators to identify potentially inappropriate prescribing and guide deprescribing in patients. </w:t>
      </w:r>
      <w:r w:rsidRPr="00727C4F">
        <w:rPr>
          <w:rFonts w:cs="Calibri"/>
        </w:rPr>
        <w:lastRenderedPageBreak/>
        <w:t>Study-3 is a cohort study using linked routine primary care data from England (Clinical Practice Research Datalink) to apply the indicators to, to establish the prevalence of potentially inappropriate prescribing. Study-4 will use the same data source and will assess the occurrence of deprescribing of potentially inappropriate and other medicines for CKD patients, and will establish how and in what circumstances deprescribing occurs routinely. Study-5 is a qualitative study of general practitioners and pharmacists, to understand their current practice and perceptions of deprescribing for patients with CKD in primary care.</w:t>
      </w:r>
    </w:p>
    <w:p w14:paraId="2FC6C93A" w14:textId="77777777" w:rsidR="00295F3A" w:rsidRPr="00727C4F" w:rsidRDefault="00295F3A" w:rsidP="00295F3A">
      <w:pPr>
        <w:rPr>
          <w:rFonts w:cs="Calibri"/>
        </w:rPr>
      </w:pPr>
      <w:r w:rsidRPr="00727C4F">
        <w:rPr>
          <w:rFonts w:cs="Calibri"/>
        </w:rPr>
        <w:t>This project will enhance understanding of safe medicines use in CKD, and enable targeted interventions to improve medication safety.</w:t>
      </w:r>
    </w:p>
    <w:p w14:paraId="782283C5" w14:textId="77777777" w:rsidR="00BD2B58" w:rsidRDefault="00BD2B58" w:rsidP="00740D0D">
      <w:pPr>
        <w:spacing w:before="120" w:after="120" w:line="276" w:lineRule="auto"/>
      </w:pPr>
    </w:p>
    <w:p w14:paraId="5F260444" w14:textId="77777777" w:rsidR="00295F3A" w:rsidRPr="00597A21" w:rsidRDefault="00B846D8" w:rsidP="00B846D8">
      <w:pPr>
        <w:pStyle w:val="Heading3"/>
      </w:pPr>
      <w:r>
        <w:t xml:space="preserve">9. </w:t>
      </w:r>
      <w:r w:rsidR="00295F3A">
        <w:t xml:space="preserve">Lead applicant </w:t>
      </w:r>
      <w:r w:rsidR="00295F3A" w:rsidRPr="00597A21">
        <w:t>Dr Dan Wu</w:t>
      </w:r>
      <w:r w:rsidR="00295F3A" w:rsidRPr="00597A21">
        <w:tab/>
      </w:r>
    </w:p>
    <w:p w14:paraId="507E8D87" w14:textId="77777777" w:rsidR="00295F3A" w:rsidRDefault="00295F3A" w:rsidP="009C5909">
      <w:r w:rsidRPr="00597A21">
        <w:t xml:space="preserve">Project: Forecasting Vaping Health Risks with Machine Learning: Predicting Toxicants from </w:t>
      </w:r>
      <w:proofErr w:type="spellStart"/>
      <w:r w:rsidRPr="00597A21">
        <w:t>Flavor</w:t>
      </w:r>
      <w:proofErr w:type="spellEnd"/>
      <w:r w:rsidRPr="00597A21">
        <w:t xml:space="preserve"> Pyrolysis Reactions and Classifying Chemical Hazards for Future Public Health Challenges</w:t>
      </w:r>
    </w:p>
    <w:p w14:paraId="2208524E" w14:textId="77777777" w:rsidR="00B617B2" w:rsidRPr="00597A21" w:rsidRDefault="00B617B2" w:rsidP="009C5909">
      <w:r w:rsidRPr="00FE1267">
        <w:t>P</w:t>
      </w:r>
      <w:r>
        <w:t xml:space="preserve">opulation </w:t>
      </w:r>
      <w:r w:rsidRPr="00FE1267">
        <w:t>H</w:t>
      </w:r>
      <w:r>
        <w:t xml:space="preserve">ealth </w:t>
      </w:r>
      <w:r w:rsidRPr="00FE1267">
        <w:t>R</w:t>
      </w:r>
      <w:r>
        <w:t>esearch</w:t>
      </w:r>
    </w:p>
    <w:p w14:paraId="344A4125" w14:textId="77777777" w:rsidR="00295F3A" w:rsidRDefault="00295F3A" w:rsidP="009C5909">
      <w:pPr>
        <w:rPr>
          <w:rFonts w:cs="Calibri"/>
          <w:color w:val="000000"/>
        </w:rPr>
      </w:pPr>
      <w:r w:rsidRPr="00597A21">
        <w:t xml:space="preserve">Award Amount: </w:t>
      </w:r>
      <w:r w:rsidRPr="00597A21">
        <w:rPr>
          <w:rFonts w:cs="Calibri"/>
          <w:color w:val="000000"/>
        </w:rPr>
        <w:t>€</w:t>
      </w:r>
      <w:r w:rsidR="000D3DA1" w:rsidRPr="004843BF">
        <w:rPr>
          <w:rFonts w:cs="Calibri"/>
          <w:color w:val="000000"/>
        </w:rPr>
        <w:t>453,240</w:t>
      </w:r>
    </w:p>
    <w:p w14:paraId="1FB1F4DF" w14:textId="77777777" w:rsidR="00B846D8" w:rsidRPr="00597A21" w:rsidRDefault="00B846D8" w:rsidP="009C5909">
      <w:r>
        <w:rPr>
          <w:rFonts w:cs="Calibri"/>
          <w:color w:val="000000"/>
        </w:rPr>
        <w:t xml:space="preserve">Lay summary </w:t>
      </w:r>
    </w:p>
    <w:p w14:paraId="090BCCFB" w14:textId="77777777" w:rsidR="00295F3A" w:rsidRPr="00727C4F" w:rsidRDefault="00295F3A" w:rsidP="00295F3A">
      <w:pPr>
        <w:rPr>
          <w:rFonts w:cs="Calibri"/>
        </w:rPr>
      </w:pPr>
      <w:proofErr w:type="gramStart"/>
      <w:r w:rsidRPr="00727C4F">
        <w:rPr>
          <w:rFonts w:cs="Calibri"/>
        </w:rPr>
        <w:t>Electronic cigarettes / vaping,</w:t>
      </w:r>
      <w:proofErr w:type="gramEnd"/>
      <w:r w:rsidRPr="00727C4F">
        <w:rPr>
          <w:rFonts w:cs="Calibri"/>
        </w:rPr>
        <w:t xml:space="preserve"> are marketed as a safer means to inhale nicotine without the inherent health risks of tobacco. There are currently more than 7,000 </w:t>
      </w:r>
      <w:proofErr w:type="spellStart"/>
      <w:r w:rsidRPr="00727C4F">
        <w:rPr>
          <w:rFonts w:cs="Calibri"/>
        </w:rPr>
        <w:t>flavored</w:t>
      </w:r>
      <w:proofErr w:type="spellEnd"/>
      <w:r w:rsidRPr="00727C4F">
        <w:rPr>
          <w:rFonts w:cs="Calibri"/>
        </w:rPr>
        <w:t xml:space="preserve"> vaping e-liquid solutions on the market containing over 200 discrete chemical entities according to the National Academies of Sciences, Engineering, and Medicine in the United State. As temperatures reached in vaping devices can be equivalent to a laboratory pyrolysis apparatus (up to 950 ˚C), the potential for unexpected chemistries to take place on individual components within a vape solution is high. The goal of this proposal is to leverage the power of machine learning with a graphed-convolutional neural network (NN) model to predict the pyrolysis chemistries of known chemicals in vaping solutions, cross correlate the results with experimental mass spectrometry databases, DFT calculated bond dissociation energies (BDEs) and combine with laboratory experiment, toxicity database and globally harmonized system (GHS) classification to generate a vaping health risk predictor. New experimental pyrolysis in-flow methods will be developed to validate the most important predicted results and explore the potential of acid, base and metal </w:t>
      </w:r>
      <w:proofErr w:type="spellStart"/>
      <w:r w:rsidRPr="00727C4F">
        <w:rPr>
          <w:rFonts w:cs="Calibri"/>
        </w:rPr>
        <w:t>catalyzed</w:t>
      </w:r>
      <w:proofErr w:type="spellEnd"/>
      <w:r w:rsidRPr="00727C4F">
        <w:rPr>
          <w:rFonts w:cs="Calibri"/>
        </w:rPr>
        <w:t xml:space="preserve"> pyrolysis reactions taking place in the complex vaping mixtures.</w:t>
      </w:r>
    </w:p>
    <w:p w14:paraId="24C374FA" w14:textId="77777777" w:rsidR="00295F3A" w:rsidRDefault="00295F3A" w:rsidP="00295F3A">
      <w:pPr>
        <w:rPr>
          <w:rFonts w:cs="Calibri"/>
        </w:rPr>
      </w:pPr>
      <w:r w:rsidRPr="00727C4F">
        <w:rPr>
          <w:rFonts w:cs="Calibri"/>
        </w:rPr>
        <w:t>Considering such a large number of chemicals involved, it could be expected that many toxic and carcinogenic compounds will be produced (much like tobacco).There is an urgent need for research to study and prevent another tobacco-like health catastrophe as many negative health impacts will not materialize in the vaping population for another decade. With chemistry related machine learning models continuing to advance at speed, their use offers a valuable tool to reveal the longer-term health risks of vaping in advanced of clinical diseases emerging in the general population.</w:t>
      </w:r>
    </w:p>
    <w:p w14:paraId="796B72B5" w14:textId="77777777" w:rsidR="00416324" w:rsidRDefault="00416324" w:rsidP="00740D0D">
      <w:pPr>
        <w:spacing w:before="120" w:after="120" w:line="276" w:lineRule="auto"/>
        <w:rPr>
          <w:b/>
          <w:bCs/>
        </w:rPr>
      </w:pPr>
    </w:p>
    <w:p w14:paraId="2A1C8C6E" w14:textId="77777777" w:rsidR="006D6730" w:rsidRDefault="006D6730">
      <w:pPr>
        <w:rPr>
          <w:b/>
          <w:bCs/>
        </w:rPr>
      </w:pPr>
      <w:r>
        <w:rPr>
          <w:b/>
          <w:bCs/>
        </w:rPr>
        <w:br w:type="page"/>
      </w:r>
    </w:p>
    <w:p w14:paraId="24442969" w14:textId="77777777" w:rsidR="006D6730" w:rsidRDefault="006D6730" w:rsidP="00740D0D">
      <w:pPr>
        <w:spacing w:before="120" w:after="120" w:line="276" w:lineRule="auto"/>
        <w:rPr>
          <w:b/>
          <w:bCs/>
        </w:rPr>
      </w:pPr>
    </w:p>
    <w:p w14:paraId="65F565A1" w14:textId="77777777" w:rsidR="00E40188" w:rsidRPr="00646519" w:rsidRDefault="00E40188" w:rsidP="007B0DC5">
      <w:pPr>
        <w:pStyle w:val="Heading2"/>
        <w:rPr>
          <w:sz w:val="24"/>
          <w:szCs w:val="24"/>
        </w:rPr>
      </w:pPr>
      <w:r w:rsidRPr="00646519">
        <w:t>Trinity College Dublin</w:t>
      </w:r>
    </w:p>
    <w:p w14:paraId="1248AC14" w14:textId="77777777" w:rsidR="008D7980" w:rsidRDefault="008D7980" w:rsidP="00E40188">
      <w:pPr>
        <w:spacing w:after="120" w:line="276" w:lineRule="auto"/>
      </w:pPr>
    </w:p>
    <w:p w14:paraId="08FE45E6" w14:textId="77777777" w:rsidR="00171F7F" w:rsidRDefault="00171F7F" w:rsidP="00E40188">
      <w:pPr>
        <w:spacing w:after="120" w:line="276" w:lineRule="auto"/>
      </w:pPr>
      <w:r>
        <w:t>11 awards, total value</w:t>
      </w:r>
      <w:r w:rsidR="000D3DA1">
        <w:t>: €4,754,456</w:t>
      </w:r>
    </w:p>
    <w:p w14:paraId="1DCC38BC" w14:textId="77777777" w:rsidR="00171F7F" w:rsidRDefault="00171F7F" w:rsidP="00E40188">
      <w:pPr>
        <w:spacing w:after="120" w:line="276" w:lineRule="auto"/>
      </w:pPr>
    </w:p>
    <w:p w14:paraId="3EA95645" w14:textId="77777777" w:rsidR="007B0DC5" w:rsidRPr="0031762F" w:rsidRDefault="00B124F1" w:rsidP="00B124F1">
      <w:pPr>
        <w:pStyle w:val="Heading3"/>
      </w:pPr>
      <w:r>
        <w:t xml:space="preserve">10. </w:t>
      </w:r>
      <w:r w:rsidR="007B0DC5" w:rsidRPr="0031762F">
        <w:t xml:space="preserve">Lead Applicant: Professor Joanne Lysaght </w:t>
      </w:r>
    </w:p>
    <w:p w14:paraId="015F63F8" w14:textId="77777777" w:rsidR="000C5410" w:rsidRDefault="007B0DC5" w:rsidP="00B846D8">
      <w:r w:rsidRPr="0031762F">
        <w:t>Project: Combination targeting of immunosuppressive sialylation and immune checkpoint pathways to maximise T cell responses in cancer</w:t>
      </w:r>
    </w:p>
    <w:p w14:paraId="438ADED6" w14:textId="77777777" w:rsidR="000C5410" w:rsidRPr="0031762F" w:rsidRDefault="000C5410" w:rsidP="00B846D8">
      <w:r w:rsidRPr="00BF0C41">
        <w:t>Patient-Oriented Research</w:t>
      </w:r>
    </w:p>
    <w:p w14:paraId="419384FF" w14:textId="77777777" w:rsidR="007B0DC5" w:rsidRPr="0031762F" w:rsidRDefault="007B0DC5" w:rsidP="00B846D8">
      <w:r w:rsidRPr="0031762F">
        <w:t>Award Amount: €</w:t>
      </w:r>
      <w:r w:rsidR="000D3DA1" w:rsidRPr="008362E1">
        <w:t>428,054</w:t>
      </w:r>
    </w:p>
    <w:p w14:paraId="5361F3FE" w14:textId="77777777" w:rsidR="00B124F1" w:rsidRDefault="00B124F1" w:rsidP="007B0DC5">
      <w:r>
        <w:t xml:space="preserve">Lay summary </w:t>
      </w:r>
    </w:p>
    <w:p w14:paraId="6FDA2A71" w14:textId="77777777" w:rsidR="007B0DC5" w:rsidRPr="008A2FD6" w:rsidRDefault="007B0DC5" w:rsidP="007B0DC5">
      <w:r w:rsidRPr="008A2FD6">
        <w:t>Oesophageal adenocarcinoma (OAC) is a dismal prognosis cancer, whose incidence continues to increase year on year. Recent approvals by the FDA and EMA/HPRA allow for the use of novel immune-based therapies, including anti-PD-1 targeting agents in advanced OAC patients. While immune checkpoint inhibitors (ICIs) have revolutionised the field of cancer immunotherapy, engaged public interest and offered the possibility of cure for some patients, overall the response rates to ICIs remains poor, estimated to be from 13-29% across all cancers. Current clinical trials are focusing on combining different ICIs, or combining with chemotherapy/radiotherapy and assessing treatment scheduling, but few are currently targeting immune evasion strategies in combination with ICIs. This is a critical feature which is likely responsible for the poor response rates to ICIs across multiple cancer types and therefore future approaches should aim to counteract immunosuppressive pathways along with immune stimulatory therapies, such as ICIs.</w:t>
      </w:r>
    </w:p>
    <w:p w14:paraId="1F9B22B8" w14:textId="77777777" w:rsidR="007B0DC5" w:rsidRPr="008A2FD6" w:rsidRDefault="007B0DC5" w:rsidP="007B0DC5">
      <w:r w:rsidRPr="008A2FD6">
        <w:t xml:space="preserve">This project aims to target an emerging evasion strategy used by solid tumours, which is the </w:t>
      </w:r>
      <w:proofErr w:type="spellStart"/>
      <w:r w:rsidRPr="008A2FD6">
        <w:t>Siglec</w:t>
      </w:r>
      <w:proofErr w:type="spellEnd"/>
      <w:r w:rsidRPr="008A2FD6">
        <w:t xml:space="preserve">-sialic acid pathway. This pathway is dysregulated in tumours, with an overexpression reported in many solid tumours and is involved in the majority of cancer hallmarks, most notably immune evasion. Specific </w:t>
      </w:r>
      <w:proofErr w:type="spellStart"/>
      <w:r w:rsidRPr="008A2FD6">
        <w:t>Siglec</w:t>
      </w:r>
      <w:proofErr w:type="spellEnd"/>
      <w:r w:rsidRPr="008A2FD6">
        <w:t xml:space="preserve"> receptors are involved in T cell suppression including Siglec-7, -9 and -10, which will be the focus of this study. This project will examine sialylation and the expression of </w:t>
      </w:r>
      <w:proofErr w:type="spellStart"/>
      <w:r w:rsidRPr="008A2FD6">
        <w:t>Siglec</w:t>
      </w:r>
      <w:proofErr w:type="spellEnd"/>
      <w:r w:rsidRPr="008A2FD6">
        <w:t xml:space="preserve"> ligands on both OAC tumour cells and mesenchymal stromal cells under different biologically and clinically relevant conditions, reflective of the tumour microenvironment and cancer treatments. This study will also assess how T cells are suppressed through the </w:t>
      </w:r>
      <w:proofErr w:type="spellStart"/>
      <w:r w:rsidRPr="008A2FD6">
        <w:t>Siglec</w:t>
      </w:r>
      <w:proofErr w:type="spellEnd"/>
      <w:r w:rsidRPr="008A2FD6">
        <w:t>-sialic acid pathways and how targeting this pathway could enhance T cell function. Lastly, we will investigate how dual targeting of ICIs and sialylation could enhance T cell function and ultimately improve outcomes for patients who receive ICIs.</w:t>
      </w:r>
    </w:p>
    <w:p w14:paraId="1D8FB574" w14:textId="77777777" w:rsidR="007B0DC5" w:rsidRDefault="007B0DC5" w:rsidP="007B0DC5"/>
    <w:p w14:paraId="2D30D6FE" w14:textId="77777777" w:rsidR="007B0DC5" w:rsidRPr="0031762F" w:rsidRDefault="00B124F1" w:rsidP="00B124F1">
      <w:pPr>
        <w:pStyle w:val="Heading3"/>
      </w:pPr>
      <w:r>
        <w:t xml:space="preserve">11. </w:t>
      </w:r>
      <w:r w:rsidR="007B0DC5" w:rsidRPr="0031762F">
        <w:t>Lead Applicant: Professor Aisling Dunne</w:t>
      </w:r>
      <w:r w:rsidR="007B0DC5" w:rsidRPr="0031762F">
        <w:tab/>
      </w:r>
    </w:p>
    <w:p w14:paraId="45B49C6C" w14:textId="77777777" w:rsidR="007B0DC5" w:rsidRDefault="007B0DC5" w:rsidP="00B124F1">
      <w:r w:rsidRPr="0031762F">
        <w:t>Project: Evaluation of novel modulators of oxidative stress as add-on pharmacotherapies for rheumatic disease.</w:t>
      </w:r>
    </w:p>
    <w:p w14:paraId="3CE1C662" w14:textId="77777777" w:rsidR="000C5410" w:rsidRPr="0031762F" w:rsidRDefault="000C5410" w:rsidP="00B124F1">
      <w:r w:rsidRPr="00BF0C41">
        <w:t>Patient-Oriented Research</w:t>
      </w:r>
    </w:p>
    <w:p w14:paraId="3C846DB3" w14:textId="77777777" w:rsidR="007B0DC5" w:rsidRPr="0031762F" w:rsidRDefault="007B0DC5" w:rsidP="00B124F1">
      <w:r w:rsidRPr="0031762F">
        <w:t xml:space="preserve">Award Amount: </w:t>
      </w:r>
      <w:r w:rsidRPr="0031762F">
        <w:rPr>
          <w:rFonts w:cs="Calibri"/>
          <w:lang w:val="en-US"/>
        </w:rPr>
        <w:t>€</w:t>
      </w:r>
      <w:r w:rsidR="000D3DA1" w:rsidRPr="00660E59">
        <w:rPr>
          <w:rFonts w:cs="Calibri"/>
          <w:lang w:val="en-US"/>
        </w:rPr>
        <w:t>453,578</w:t>
      </w:r>
    </w:p>
    <w:p w14:paraId="3F714C89" w14:textId="77777777" w:rsidR="00B124F1" w:rsidRDefault="00B124F1" w:rsidP="007B0DC5">
      <w:pPr>
        <w:spacing w:after="0" w:line="240" w:lineRule="auto"/>
        <w:rPr>
          <w:rFonts w:eastAsia="Times New Roman" w:cs="Calibri"/>
          <w:color w:val="000000"/>
          <w:lang w:eastAsia="en-IE"/>
        </w:rPr>
      </w:pPr>
      <w:r>
        <w:rPr>
          <w:rFonts w:eastAsia="Times New Roman" w:cs="Calibri"/>
          <w:color w:val="000000"/>
          <w:lang w:eastAsia="en-IE"/>
        </w:rPr>
        <w:t>Lay summary</w:t>
      </w:r>
    </w:p>
    <w:p w14:paraId="7891FBCF" w14:textId="77777777" w:rsidR="00B124F1" w:rsidRDefault="00B124F1" w:rsidP="007B0DC5">
      <w:pPr>
        <w:spacing w:after="0" w:line="240" w:lineRule="auto"/>
        <w:rPr>
          <w:rFonts w:eastAsia="Times New Roman" w:cs="Calibri"/>
          <w:color w:val="000000"/>
          <w:lang w:eastAsia="en-IE"/>
        </w:rPr>
      </w:pPr>
    </w:p>
    <w:p w14:paraId="13761E73" w14:textId="77777777" w:rsidR="007B0DC5" w:rsidRPr="00DF039E" w:rsidRDefault="007B0DC5" w:rsidP="007B0DC5">
      <w:pPr>
        <w:spacing w:after="0" w:line="240" w:lineRule="auto"/>
        <w:rPr>
          <w:rFonts w:eastAsia="Times New Roman" w:cs="Calibri"/>
          <w:color w:val="000000"/>
          <w:lang w:eastAsia="en-IE"/>
        </w:rPr>
      </w:pPr>
      <w:r w:rsidRPr="00DF039E">
        <w:rPr>
          <w:rFonts w:eastAsia="Times New Roman" w:cs="Calibri"/>
          <w:color w:val="000000"/>
          <w:lang w:eastAsia="en-IE"/>
        </w:rPr>
        <w:t xml:space="preserve">It is estimated that approximately 18 million people worldwide suffer from rheumatoid arthritis (RA). Current immunosuppressive treatments have clinical </w:t>
      </w:r>
      <w:proofErr w:type="gramStart"/>
      <w:r w:rsidRPr="00DF039E">
        <w:rPr>
          <w:rFonts w:eastAsia="Times New Roman" w:cs="Calibri"/>
          <w:color w:val="000000"/>
          <w:lang w:eastAsia="en-IE"/>
        </w:rPr>
        <w:t>efficacy,</w:t>
      </w:r>
      <w:proofErr w:type="gramEnd"/>
      <w:r w:rsidRPr="00DF039E">
        <w:rPr>
          <w:rFonts w:eastAsia="Times New Roman" w:cs="Calibri"/>
          <w:color w:val="000000"/>
          <w:lang w:eastAsia="en-IE"/>
        </w:rPr>
        <w:t xml:space="preserve"> however many patients suffer severe side effects and approximately 50% of patients are refractory to therapy. This highlights the need for more diverse anti-inflammatory treatment options, which are well tolerated and have long-term efficacy in patients. One notable feature strongly associated with RA is tissue destruction and inflammation caused by oxidative stress. This is unsurprising given the persistent hypoxic conditions in the RA synovium. Numerous studies have verified that activation of the Nrf2 system (a master regulator of oxidative stress) may be therapeutically beneficial for ameliorating RA owing to its anti-inflammatory and anti-oxidative activity. This is mediated largely by protective enzymes including </w:t>
      </w:r>
      <w:proofErr w:type="spellStart"/>
      <w:r w:rsidRPr="00DF039E">
        <w:rPr>
          <w:rFonts w:eastAsia="Times New Roman" w:cs="Calibri"/>
          <w:color w:val="000000"/>
          <w:lang w:eastAsia="en-IE"/>
        </w:rPr>
        <w:t>heme</w:t>
      </w:r>
      <w:proofErr w:type="spellEnd"/>
      <w:r w:rsidRPr="00DF039E">
        <w:rPr>
          <w:rFonts w:eastAsia="Times New Roman" w:cs="Calibri"/>
          <w:color w:val="000000"/>
          <w:lang w:eastAsia="en-IE"/>
        </w:rPr>
        <w:t xml:space="preserve"> oxygenase-1 (HO-1). We previously reported that keto acids produced by the parasite, </w:t>
      </w:r>
      <w:proofErr w:type="spellStart"/>
      <w:r w:rsidRPr="00DF039E">
        <w:rPr>
          <w:rFonts w:eastAsia="Times New Roman" w:cs="Calibri"/>
          <w:color w:val="000000"/>
          <w:lang w:eastAsia="en-IE"/>
        </w:rPr>
        <w:t>Trypansoma</w:t>
      </w:r>
      <w:proofErr w:type="spellEnd"/>
      <w:r w:rsidRPr="00DF039E">
        <w:rPr>
          <w:rFonts w:eastAsia="Times New Roman" w:cs="Calibri"/>
          <w:color w:val="000000"/>
          <w:lang w:eastAsia="en-IE"/>
        </w:rPr>
        <w:t xml:space="preserve"> brucei (as well as commensal bacteria in the gut), activate Nrf2 and can directly suppress inflammatory responses and dysregulated metabolism in human immune cells, via HO-1 activation. Most recently, we have generated novel data demonstrating that these compounds can promote stem cell differentiation and induce the expression of genes associated with bone/cartilage formation. The purpose of this study is to determine if these compounds have potential for use in the treatment of RA, given the strong connection between oxidative stress and tissue damage in this disease. Of note, </w:t>
      </w:r>
      <w:proofErr w:type="gramStart"/>
      <w:r w:rsidRPr="00DF039E">
        <w:rPr>
          <w:rFonts w:eastAsia="Times New Roman" w:cs="Calibri"/>
          <w:color w:val="000000"/>
          <w:lang w:eastAsia="en-IE"/>
        </w:rPr>
        <w:t>indole based</w:t>
      </w:r>
      <w:proofErr w:type="gramEnd"/>
      <w:r w:rsidRPr="00DF039E">
        <w:rPr>
          <w:rFonts w:eastAsia="Times New Roman" w:cs="Calibri"/>
          <w:color w:val="000000"/>
          <w:lang w:eastAsia="en-IE"/>
        </w:rPr>
        <w:t xml:space="preserve"> products have recently been highlighted as promising therapeutics for inflammatory bowel disease and parasite derived products have long been explored as anti-inflammatories to treat a range of autoimmune and inflammatory diseases. Validation of these molecules in RA patient samples and in stem cells will support future studies that could potentially lead to the development of new RA therapies.</w:t>
      </w:r>
    </w:p>
    <w:p w14:paraId="357AEB22" w14:textId="77777777" w:rsidR="007B0DC5" w:rsidRPr="00552735" w:rsidRDefault="007B0DC5" w:rsidP="007B0DC5"/>
    <w:p w14:paraId="479B4A86" w14:textId="77777777" w:rsidR="007B0DC5" w:rsidRPr="0031762F" w:rsidRDefault="00B124F1" w:rsidP="00B124F1">
      <w:pPr>
        <w:pStyle w:val="Heading3"/>
      </w:pPr>
      <w:r>
        <w:t xml:space="preserve">12. </w:t>
      </w:r>
      <w:r w:rsidR="007B0DC5" w:rsidRPr="0031762F">
        <w:t>Lead Applicant: Dr Lucy Norris</w:t>
      </w:r>
      <w:r w:rsidR="007B0DC5" w:rsidRPr="0031762F">
        <w:tab/>
      </w:r>
    </w:p>
    <w:p w14:paraId="2B86C1FC" w14:textId="77777777" w:rsidR="007B0DC5" w:rsidRDefault="007B0DC5" w:rsidP="00B124F1">
      <w:r w:rsidRPr="0031762F">
        <w:t xml:space="preserve">Project: PINPOINT: </w:t>
      </w:r>
      <w:proofErr w:type="spellStart"/>
      <w:r w:rsidRPr="0031762F">
        <w:t>PredIction</w:t>
      </w:r>
      <w:proofErr w:type="spellEnd"/>
      <w:r w:rsidRPr="0031762F">
        <w:t xml:space="preserve"> </w:t>
      </w:r>
      <w:proofErr w:type="spellStart"/>
      <w:r w:rsidRPr="0031762F">
        <w:t>aNd</w:t>
      </w:r>
      <w:proofErr w:type="spellEnd"/>
      <w:r w:rsidRPr="0031762F">
        <w:t xml:space="preserve"> Prevention Of Venous Thrombosis </w:t>
      </w:r>
      <w:proofErr w:type="spellStart"/>
      <w:r w:rsidRPr="0031762F">
        <w:t>durINg</w:t>
      </w:r>
      <w:proofErr w:type="spellEnd"/>
      <w:r w:rsidRPr="0031762F">
        <w:t xml:space="preserve"> </w:t>
      </w:r>
      <w:proofErr w:type="spellStart"/>
      <w:r w:rsidRPr="0031762F">
        <w:t>chemoTherapy</w:t>
      </w:r>
      <w:proofErr w:type="spellEnd"/>
      <w:r w:rsidRPr="0031762F">
        <w:t>- combining dynamic biomarker risk assessment, patient perspectives and health technology assessment.</w:t>
      </w:r>
    </w:p>
    <w:p w14:paraId="6BCCA913" w14:textId="77777777" w:rsidR="000C5410" w:rsidRPr="0031762F" w:rsidRDefault="000C5410" w:rsidP="00B124F1">
      <w:r w:rsidRPr="00BF0C41">
        <w:t>Patient-Oriented Research</w:t>
      </w:r>
    </w:p>
    <w:p w14:paraId="257F3783" w14:textId="77777777" w:rsidR="007B0DC5" w:rsidRDefault="007B0DC5" w:rsidP="00B124F1">
      <w:r w:rsidRPr="0031762F">
        <w:t>Award Amount: €</w:t>
      </w:r>
      <w:r w:rsidR="000D3DA1" w:rsidRPr="00660E59">
        <w:t>428,664</w:t>
      </w:r>
    </w:p>
    <w:p w14:paraId="1C816EF0" w14:textId="77777777" w:rsidR="00B124F1" w:rsidRPr="0031762F" w:rsidRDefault="00B124F1" w:rsidP="00B124F1">
      <w:r>
        <w:t xml:space="preserve">Lay summary </w:t>
      </w:r>
    </w:p>
    <w:p w14:paraId="2C89B891" w14:textId="77777777" w:rsidR="007B0DC5" w:rsidRDefault="007B0DC5" w:rsidP="007B0DC5">
      <w:pPr>
        <w:spacing w:after="0" w:line="240" w:lineRule="auto"/>
        <w:rPr>
          <w:rFonts w:eastAsia="Times New Roman" w:cs="Calibri"/>
          <w:color w:val="000000"/>
          <w:lang w:eastAsia="en-IE"/>
        </w:rPr>
      </w:pPr>
      <w:r w:rsidRPr="00DF039E">
        <w:rPr>
          <w:rFonts w:eastAsia="Times New Roman" w:cs="Calibri"/>
          <w:color w:val="000000"/>
          <w:lang w:eastAsia="en-IE"/>
        </w:rPr>
        <w:t xml:space="preserve">Venous thromboembolism(VTE) is the leading cause of </w:t>
      </w:r>
      <w:proofErr w:type="spellStart"/>
      <w:r w:rsidRPr="00DF039E">
        <w:rPr>
          <w:rFonts w:eastAsia="Times New Roman" w:cs="Calibri"/>
          <w:color w:val="000000"/>
          <w:lang w:eastAsia="en-IE"/>
        </w:rPr>
        <w:t>non cancer</w:t>
      </w:r>
      <w:proofErr w:type="spellEnd"/>
      <w:r w:rsidRPr="00DF039E">
        <w:rPr>
          <w:rFonts w:eastAsia="Times New Roman" w:cs="Calibri"/>
          <w:color w:val="000000"/>
          <w:lang w:eastAsia="en-IE"/>
        </w:rPr>
        <w:t xml:space="preserve"> death in cancer patients. Patients are particularly </w:t>
      </w:r>
      <w:proofErr w:type="gramStart"/>
      <w:r w:rsidRPr="00DF039E">
        <w:rPr>
          <w:rFonts w:eastAsia="Times New Roman" w:cs="Calibri"/>
          <w:color w:val="000000"/>
          <w:lang w:eastAsia="en-IE"/>
        </w:rPr>
        <w:t>at risk</w:t>
      </w:r>
      <w:proofErr w:type="gramEnd"/>
      <w:r w:rsidRPr="00DF039E">
        <w:rPr>
          <w:rFonts w:eastAsia="Times New Roman" w:cs="Calibri"/>
          <w:color w:val="000000"/>
          <w:lang w:eastAsia="en-IE"/>
        </w:rPr>
        <w:t xml:space="preserve"> during chemotherapy where rates of up to 20% have been reported.  Guidelines recommend primary prophylaxis with direct oral anticoagulants(DOACs) in intermediate/high risk patients undergoing chemotherapy following risk assessment with a validated risk score(Khorana score). However, the Khorana score performs poorly in lung, ovarian and gastric cancers and relies on a single assessment at the start of therapy.</w:t>
      </w:r>
      <w:r w:rsidRPr="00DF039E">
        <w:rPr>
          <w:rFonts w:eastAsia="Times New Roman" w:cs="Calibri"/>
          <w:color w:val="000000"/>
          <w:lang w:eastAsia="en-IE"/>
        </w:rPr>
        <w:br/>
        <w:t xml:space="preserve">The development of VTE is a dynamic process which cannot be accurately represented by a single risk assessment. Our data suggests that markers of procoagulant activity are implicated in chemotherapy associated VTE and could be measured serially as predictive biomarkers. This may provide a more effective method of identifying patients at risk of VTE and facilitate targeted prophylaxis.  </w:t>
      </w:r>
      <w:r w:rsidRPr="00DF039E">
        <w:rPr>
          <w:rFonts w:eastAsia="Times New Roman" w:cs="Calibri"/>
          <w:color w:val="000000"/>
          <w:lang w:eastAsia="en-IE"/>
        </w:rPr>
        <w:br/>
        <w:t>Prophylaxis with DOACs carries a risk of bleeding hence decisions regarding prophylaxis should be shared between doctor and patient.  However, studies have shown that cancer patients receive limited information about VTE risk and tools to aid decision making in this area are lacking. Cost is also a consideration for both the health service and the patient.</w:t>
      </w:r>
      <w:r w:rsidRPr="00DF039E">
        <w:rPr>
          <w:rFonts w:eastAsia="Times New Roman" w:cs="Calibri"/>
          <w:color w:val="000000"/>
          <w:lang w:eastAsia="en-IE"/>
        </w:rPr>
        <w:br/>
      </w:r>
      <w:r w:rsidRPr="00DF039E">
        <w:rPr>
          <w:rFonts w:eastAsia="Times New Roman" w:cs="Calibri"/>
          <w:color w:val="000000"/>
          <w:lang w:eastAsia="en-IE"/>
        </w:rPr>
        <w:br/>
        <w:t>In this study we will:</w:t>
      </w:r>
      <w:r>
        <w:rPr>
          <w:rFonts w:eastAsia="Times New Roman" w:cs="Calibri"/>
          <w:color w:val="000000"/>
          <w:lang w:eastAsia="en-IE"/>
        </w:rPr>
        <w:t xml:space="preserve"> </w:t>
      </w:r>
    </w:p>
    <w:p w14:paraId="3A7A622D" w14:textId="77777777" w:rsidR="007B0DC5" w:rsidRDefault="007B0DC5" w:rsidP="007B0DC5">
      <w:pPr>
        <w:pStyle w:val="ListParagraph"/>
        <w:numPr>
          <w:ilvl w:val="0"/>
          <w:numId w:val="12"/>
        </w:numPr>
        <w:spacing w:after="0" w:line="240" w:lineRule="auto"/>
        <w:rPr>
          <w:rFonts w:eastAsia="Times New Roman" w:cs="Calibri"/>
          <w:color w:val="000000"/>
          <w:lang w:eastAsia="en-IE"/>
        </w:rPr>
      </w:pPr>
      <w:r w:rsidRPr="00C16538">
        <w:rPr>
          <w:rFonts w:eastAsia="Times New Roman" w:cs="Calibri"/>
          <w:color w:val="000000"/>
          <w:lang w:eastAsia="en-IE"/>
        </w:rPr>
        <w:lastRenderedPageBreak/>
        <w:t>measure procoagulant biomarker levels serially during chemotherapy  as dynamic predictors of VTE.</w:t>
      </w:r>
    </w:p>
    <w:p w14:paraId="0415277A" w14:textId="77777777" w:rsidR="007B0DC5" w:rsidRDefault="007B0DC5" w:rsidP="007B0DC5">
      <w:pPr>
        <w:pStyle w:val="ListParagraph"/>
        <w:numPr>
          <w:ilvl w:val="0"/>
          <w:numId w:val="12"/>
        </w:numPr>
        <w:spacing w:after="0" w:line="240" w:lineRule="auto"/>
        <w:rPr>
          <w:rFonts w:eastAsia="Times New Roman" w:cs="Calibri"/>
          <w:color w:val="000000"/>
          <w:lang w:eastAsia="en-IE"/>
        </w:rPr>
      </w:pPr>
      <w:r w:rsidRPr="00C16538">
        <w:rPr>
          <w:rFonts w:eastAsia="Times New Roman" w:cs="Calibri"/>
          <w:color w:val="000000"/>
          <w:lang w:eastAsia="en-IE"/>
        </w:rPr>
        <w:t>investigate the prothrombotic mechanisms involved in chemotherapy associated VTE.</w:t>
      </w:r>
    </w:p>
    <w:p w14:paraId="3A981F9B" w14:textId="77777777" w:rsidR="007B0DC5" w:rsidRDefault="007B0DC5" w:rsidP="007B0DC5">
      <w:pPr>
        <w:pStyle w:val="ListParagraph"/>
        <w:numPr>
          <w:ilvl w:val="0"/>
          <w:numId w:val="12"/>
        </w:numPr>
        <w:spacing w:after="0" w:line="240" w:lineRule="auto"/>
        <w:rPr>
          <w:rFonts w:eastAsia="Times New Roman" w:cs="Calibri"/>
          <w:color w:val="000000"/>
          <w:lang w:eastAsia="en-IE"/>
        </w:rPr>
      </w:pPr>
      <w:r w:rsidRPr="00C16538">
        <w:rPr>
          <w:rFonts w:eastAsia="Times New Roman" w:cs="Calibri"/>
          <w:color w:val="000000"/>
          <w:lang w:eastAsia="en-IE"/>
        </w:rPr>
        <w:t>identify patient needs and priorities for shared decision making with regard to prophylaxis during chemotherapy</w:t>
      </w:r>
    </w:p>
    <w:p w14:paraId="79013E31" w14:textId="77777777" w:rsidR="007B0DC5" w:rsidRDefault="007B0DC5" w:rsidP="007B0DC5">
      <w:pPr>
        <w:pStyle w:val="ListParagraph"/>
        <w:numPr>
          <w:ilvl w:val="0"/>
          <w:numId w:val="12"/>
        </w:numPr>
        <w:spacing w:after="0" w:line="240" w:lineRule="auto"/>
        <w:rPr>
          <w:rFonts w:eastAsia="Times New Roman" w:cs="Calibri"/>
          <w:color w:val="000000"/>
          <w:lang w:eastAsia="en-IE"/>
        </w:rPr>
      </w:pPr>
      <w:r w:rsidRPr="00C16538">
        <w:rPr>
          <w:rFonts w:eastAsia="Times New Roman" w:cs="Calibri"/>
          <w:color w:val="000000"/>
          <w:lang w:eastAsia="en-IE"/>
        </w:rPr>
        <w:t>perform a cost benefit analysis of biomarker screening and targeted VTE prophylaxis during chemotherapy</w:t>
      </w:r>
    </w:p>
    <w:p w14:paraId="3FBBE98B" w14:textId="77777777" w:rsidR="007B0DC5" w:rsidRDefault="007B0DC5" w:rsidP="007B0DC5">
      <w:pPr>
        <w:spacing w:after="0" w:line="240" w:lineRule="auto"/>
        <w:rPr>
          <w:rFonts w:eastAsia="Times New Roman" w:cs="Calibri"/>
          <w:color w:val="000000"/>
          <w:lang w:eastAsia="en-IE"/>
        </w:rPr>
      </w:pPr>
    </w:p>
    <w:p w14:paraId="26FB4A32" w14:textId="77777777" w:rsidR="007B0DC5" w:rsidRPr="00CE1C25" w:rsidRDefault="007B0DC5" w:rsidP="007B0DC5">
      <w:pPr>
        <w:spacing w:after="0" w:line="240" w:lineRule="auto"/>
        <w:rPr>
          <w:rFonts w:eastAsia="Times New Roman" w:cs="Calibri"/>
          <w:color w:val="000000"/>
          <w:lang w:eastAsia="en-IE"/>
        </w:rPr>
      </w:pPr>
      <w:r w:rsidRPr="00CE1C25">
        <w:rPr>
          <w:rFonts w:eastAsia="Times New Roman" w:cs="Calibri"/>
          <w:color w:val="000000"/>
          <w:lang w:eastAsia="en-IE"/>
        </w:rPr>
        <w:t xml:space="preserve">This study aims </w:t>
      </w:r>
      <w:proofErr w:type="gramStart"/>
      <w:r w:rsidRPr="00CE1C25">
        <w:rPr>
          <w:rFonts w:eastAsia="Times New Roman" w:cs="Calibri"/>
          <w:color w:val="000000"/>
          <w:lang w:eastAsia="en-IE"/>
        </w:rPr>
        <w:t>is</w:t>
      </w:r>
      <w:proofErr w:type="gramEnd"/>
      <w:r w:rsidRPr="00CE1C25">
        <w:rPr>
          <w:rFonts w:eastAsia="Times New Roman" w:cs="Calibri"/>
          <w:color w:val="000000"/>
          <w:lang w:eastAsia="en-IE"/>
        </w:rPr>
        <w:t xml:space="preserve"> to develop dynamic predictive biomarkers for VTE during chemotherapy and to understand patient priorities with regard to VTE prevention during chemotherapy. Identification of </w:t>
      </w:r>
      <w:proofErr w:type="gramStart"/>
      <w:r w:rsidRPr="00CE1C25">
        <w:rPr>
          <w:rFonts w:eastAsia="Times New Roman" w:cs="Calibri"/>
          <w:color w:val="000000"/>
          <w:lang w:eastAsia="en-IE"/>
        </w:rPr>
        <w:t>high risk</w:t>
      </w:r>
      <w:proofErr w:type="gramEnd"/>
      <w:r w:rsidRPr="00CE1C25">
        <w:rPr>
          <w:rFonts w:eastAsia="Times New Roman" w:cs="Calibri"/>
          <w:color w:val="000000"/>
          <w:lang w:eastAsia="en-IE"/>
        </w:rPr>
        <w:t xml:space="preserve"> patients and increased understanding or patient priorities and costs will lead to effective shared decision between doctor and patient ultimately reducing the burden of VTE in cancer.</w:t>
      </w:r>
    </w:p>
    <w:p w14:paraId="115A2BB2" w14:textId="77777777" w:rsidR="007B0DC5" w:rsidRPr="0031762F" w:rsidRDefault="007B0DC5" w:rsidP="007B0DC5">
      <w:pPr>
        <w:spacing w:after="120" w:line="276" w:lineRule="auto"/>
        <w:rPr>
          <w:b/>
          <w:bCs/>
        </w:rPr>
      </w:pPr>
    </w:p>
    <w:p w14:paraId="4B4B02BC" w14:textId="77777777" w:rsidR="007B0DC5" w:rsidRPr="0031762F" w:rsidRDefault="00B124F1" w:rsidP="00B124F1">
      <w:pPr>
        <w:pStyle w:val="Heading3"/>
      </w:pPr>
      <w:r>
        <w:t xml:space="preserve">13. </w:t>
      </w:r>
      <w:r w:rsidR="007B0DC5" w:rsidRPr="0031762F">
        <w:t>Lead Applicant: Professor Ursula Fearon</w:t>
      </w:r>
      <w:r w:rsidR="007B0DC5" w:rsidRPr="0031762F">
        <w:tab/>
      </w:r>
    </w:p>
    <w:p w14:paraId="17B4D38C" w14:textId="77777777" w:rsidR="007B0DC5" w:rsidRDefault="007B0DC5" w:rsidP="00B124F1">
      <w:r w:rsidRPr="0031762F">
        <w:t>Project: Distinct Immune-Stromal cell Interactions are involved in the underlying mechanisms that distinguish RA and PsA pathotypes.</w:t>
      </w:r>
    </w:p>
    <w:p w14:paraId="0F244EE5" w14:textId="77777777" w:rsidR="000C5410" w:rsidRPr="0031762F" w:rsidRDefault="000C5410" w:rsidP="00B124F1">
      <w:r w:rsidRPr="00BF0C41">
        <w:t>Patient-Oriented Research</w:t>
      </w:r>
    </w:p>
    <w:p w14:paraId="7EF36108" w14:textId="77777777" w:rsidR="007B0DC5" w:rsidRDefault="007B0DC5" w:rsidP="00B124F1">
      <w:pPr>
        <w:rPr>
          <w:rFonts w:cs="Calibri"/>
          <w:lang w:val="en-US"/>
        </w:rPr>
      </w:pPr>
      <w:r w:rsidRPr="0031762F">
        <w:t xml:space="preserve">Award Amount: </w:t>
      </w:r>
      <w:r w:rsidRPr="0031762F">
        <w:rPr>
          <w:rFonts w:cs="Calibri"/>
          <w:lang w:val="en-US"/>
        </w:rPr>
        <w:t>€</w:t>
      </w:r>
      <w:r w:rsidR="000D3DA1" w:rsidRPr="00660E59">
        <w:rPr>
          <w:rFonts w:cs="Calibri"/>
          <w:lang w:val="en-US"/>
        </w:rPr>
        <w:t>453,249</w:t>
      </w:r>
    </w:p>
    <w:p w14:paraId="59DE78CD" w14:textId="77777777" w:rsidR="00B124F1" w:rsidRPr="00B124F1" w:rsidRDefault="00B124F1" w:rsidP="00B124F1">
      <w:pPr>
        <w:rPr>
          <w:rFonts w:cs="Calibri"/>
          <w:lang w:val="en-US"/>
        </w:rPr>
      </w:pPr>
      <w:r>
        <w:rPr>
          <w:rFonts w:cs="Calibri"/>
          <w:lang w:val="en-US"/>
        </w:rPr>
        <w:t xml:space="preserve">Lay summary </w:t>
      </w:r>
    </w:p>
    <w:p w14:paraId="46CD24EB" w14:textId="77777777" w:rsidR="007B0DC5" w:rsidRPr="00DF039E" w:rsidRDefault="007B0DC5" w:rsidP="007B0DC5">
      <w:pPr>
        <w:spacing w:after="0" w:line="240" w:lineRule="auto"/>
        <w:rPr>
          <w:rFonts w:eastAsia="Times New Roman" w:cs="Calibri"/>
          <w:color w:val="000000"/>
          <w:lang w:eastAsia="en-IE"/>
        </w:rPr>
      </w:pPr>
      <w:r w:rsidRPr="00DF039E">
        <w:rPr>
          <w:rFonts w:eastAsia="Times New Roman" w:cs="Calibri"/>
          <w:color w:val="000000"/>
          <w:lang w:eastAsia="en-IE"/>
        </w:rPr>
        <w:t xml:space="preserve">Two of the most common forms of inflammatory arthritis are rheumatoid arthritis (RA) and psoriatic Arthritis (PsA). Common pathogenic features exist between RA and PsA, however significant differences are observed at the clinical, immunological, cellular and molecular levels. While some therapies are effective in both patient groups, different responses have been demonstrated to new targeted therapies. At a molecular single-cell level little is known about the distinct underlying mechanisms involved in driving this differential pathogenesis in the target tissue of disease ‘the-synovium’. Two of the most prominent cell-types in the RA and PsA synovium are macrophages and fibroblasts (FLS), which play a key role in joint inflammation through immune-cell regulation, potent secretion of pro-inflammatory mediators and synovial invasion of adjacent cartilage and bone.  Recently, using advanced flow-cytometry and </w:t>
      </w:r>
      <w:proofErr w:type="spellStart"/>
      <w:r w:rsidRPr="00DF039E">
        <w:rPr>
          <w:rFonts w:eastAsia="Times New Roman" w:cs="Calibri"/>
          <w:color w:val="000000"/>
          <w:lang w:eastAsia="en-IE"/>
        </w:rPr>
        <w:t>scRNAseq</w:t>
      </w:r>
      <w:proofErr w:type="spellEnd"/>
      <w:r w:rsidRPr="00DF039E">
        <w:rPr>
          <w:rFonts w:eastAsia="Times New Roman" w:cs="Calibri"/>
          <w:color w:val="000000"/>
          <w:lang w:eastAsia="en-IE"/>
        </w:rPr>
        <w:t xml:space="preserve">, we identified significant enrichment of a dominant macrophage-subtype CD206+CD163+ co-expressing CD40+ in RA inflamed synovial-tissue compared to healthy-control, and have shown in co-culture that RA sorted macrophages induce a proinflammatory phenotype in FLS. Preliminary data also demonstrated significantly higher frequency of  Thy1+FAPα+FLS in RA compared to PsA, thus demonstrating functional diversity of macrophage/FLS cellular phenotypes in the joint.  In parallel, we have identified that circulating monocytes in RA and PsA differ, an effect that is memorised in monocyte-derived macrophages. Finally, preliminary data from </w:t>
      </w:r>
      <w:proofErr w:type="spellStart"/>
      <w:r w:rsidRPr="00DF039E">
        <w:rPr>
          <w:rFonts w:eastAsia="Times New Roman" w:cs="Calibri"/>
          <w:color w:val="000000"/>
          <w:lang w:eastAsia="en-IE"/>
        </w:rPr>
        <w:t>scRNAseq</w:t>
      </w:r>
      <w:proofErr w:type="spellEnd"/>
      <w:r w:rsidRPr="00DF039E">
        <w:rPr>
          <w:rFonts w:eastAsia="Times New Roman" w:cs="Calibri"/>
          <w:color w:val="000000"/>
          <w:lang w:eastAsia="en-IE"/>
        </w:rPr>
        <w:t xml:space="preserve"> analysis has shown distinct receptor-ligand interactions between macrophages-FLS that potentially drives the Thy1+FAPα+FLS subtype in RA compared to </w:t>
      </w:r>
      <w:proofErr w:type="spellStart"/>
      <w:r w:rsidRPr="00DF039E">
        <w:rPr>
          <w:rFonts w:eastAsia="Times New Roman" w:cs="Calibri"/>
          <w:color w:val="000000"/>
          <w:lang w:eastAsia="en-IE"/>
        </w:rPr>
        <w:t>PsA.</w:t>
      </w:r>
      <w:proofErr w:type="spellEnd"/>
      <w:r w:rsidRPr="00DF039E">
        <w:rPr>
          <w:rFonts w:eastAsia="Times New Roman" w:cs="Calibri"/>
          <w:color w:val="000000"/>
          <w:lang w:eastAsia="en-IE"/>
        </w:rPr>
        <w:t xml:space="preserve"> Therefore, in this project, using advanced flow-cytometry, </w:t>
      </w:r>
      <w:proofErr w:type="spellStart"/>
      <w:r w:rsidRPr="00DF039E">
        <w:rPr>
          <w:rFonts w:eastAsia="Times New Roman" w:cs="Calibri"/>
          <w:color w:val="000000"/>
          <w:lang w:eastAsia="en-IE"/>
        </w:rPr>
        <w:t>scRNAseq</w:t>
      </w:r>
      <w:proofErr w:type="spellEnd"/>
      <w:r w:rsidRPr="00DF039E">
        <w:rPr>
          <w:rFonts w:eastAsia="Times New Roman" w:cs="Calibri"/>
          <w:color w:val="000000"/>
          <w:lang w:eastAsia="en-IE"/>
        </w:rPr>
        <w:t>, metabolic-analysis along with extensive mechanistic studies using physiologically relevant patient models of RA/PsA disease we will (</w:t>
      </w:r>
      <w:proofErr w:type="spellStart"/>
      <w:r w:rsidRPr="00DF039E">
        <w:rPr>
          <w:rFonts w:eastAsia="Times New Roman" w:cs="Calibri"/>
          <w:color w:val="000000"/>
          <w:lang w:eastAsia="en-IE"/>
        </w:rPr>
        <w:t>i</w:t>
      </w:r>
      <w:proofErr w:type="spellEnd"/>
      <w:r w:rsidRPr="00DF039E">
        <w:rPr>
          <w:rFonts w:eastAsia="Times New Roman" w:cs="Calibri"/>
          <w:color w:val="000000"/>
          <w:lang w:eastAsia="en-IE"/>
        </w:rPr>
        <w:t>) examine circulatory monocyte function and activation, (ii) determine distinct synovial tissue macrophage-FLS crosstalk in RA and PsA, (iii) correlate with disease-activity, progression and response and (iv) identify new targets for novel therapeutic strategies in ‘pre-clinical proof-of-concept studies’ using ex-vivo models of RA/PsA disease.</w:t>
      </w:r>
    </w:p>
    <w:p w14:paraId="470E1A0C" w14:textId="77777777" w:rsidR="007B0DC5" w:rsidRPr="0031762F" w:rsidRDefault="007B0DC5" w:rsidP="007B0DC5">
      <w:pPr>
        <w:spacing w:after="120" w:line="276" w:lineRule="auto"/>
        <w:rPr>
          <w:b/>
          <w:bCs/>
        </w:rPr>
      </w:pPr>
    </w:p>
    <w:p w14:paraId="030A0D90" w14:textId="77777777" w:rsidR="007B0DC5" w:rsidRPr="0031762F" w:rsidRDefault="00B124F1" w:rsidP="00B124F1">
      <w:pPr>
        <w:pStyle w:val="Heading3"/>
      </w:pPr>
      <w:r>
        <w:t xml:space="preserve">14. </w:t>
      </w:r>
      <w:r w:rsidR="007B0DC5" w:rsidRPr="0031762F">
        <w:t>Lead Applicant: Dr Sharee Basdeo</w:t>
      </w:r>
      <w:r w:rsidR="007B0DC5" w:rsidRPr="0031762F">
        <w:tab/>
      </w:r>
    </w:p>
    <w:p w14:paraId="33B70091" w14:textId="77777777" w:rsidR="007B0DC5" w:rsidRDefault="007B0DC5" w:rsidP="00B124F1">
      <w:r w:rsidRPr="0031762F">
        <w:t>Project: Inducing respiratory trained immunity for TB host defence in the human lung.</w:t>
      </w:r>
    </w:p>
    <w:p w14:paraId="0E9D7773" w14:textId="77777777" w:rsidR="000C5410" w:rsidRPr="0031762F" w:rsidRDefault="000C5410" w:rsidP="00B124F1">
      <w:r w:rsidRPr="00BF0C41">
        <w:lastRenderedPageBreak/>
        <w:t>Patient-Oriented Research</w:t>
      </w:r>
    </w:p>
    <w:p w14:paraId="49FC26CE" w14:textId="77777777" w:rsidR="007B0DC5" w:rsidRDefault="007B0DC5" w:rsidP="00B124F1">
      <w:pPr>
        <w:rPr>
          <w:rFonts w:cs="Calibri"/>
          <w:lang w:val="en-US"/>
        </w:rPr>
      </w:pPr>
      <w:r w:rsidRPr="0031762F">
        <w:t xml:space="preserve">Award Amount: </w:t>
      </w:r>
      <w:r w:rsidRPr="0031762F">
        <w:rPr>
          <w:rFonts w:cs="Calibri"/>
          <w:lang w:val="en-US"/>
        </w:rPr>
        <w:t>€</w:t>
      </w:r>
      <w:r w:rsidR="000D3DA1" w:rsidRPr="00784822">
        <w:rPr>
          <w:rFonts w:cs="Calibri"/>
          <w:lang w:val="en-US"/>
        </w:rPr>
        <w:t>428,996</w:t>
      </w:r>
    </w:p>
    <w:p w14:paraId="6969973B" w14:textId="77777777" w:rsidR="00B124F1" w:rsidRPr="0031762F" w:rsidRDefault="00B124F1" w:rsidP="00B124F1">
      <w:r>
        <w:rPr>
          <w:rFonts w:cs="Calibri"/>
          <w:lang w:val="en-US"/>
        </w:rPr>
        <w:t>Lay summary</w:t>
      </w:r>
      <w:r w:rsidR="00334B7B">
        <w:rPr>
          <w:rFonts w:cs="Calibri"/>
          <w:lang w:val="en-US"/>
        </w:rPr>
        <w:t xml:space="preserve"> </w:t>
      </w:r>
    </w:p>
    <w:p w14:paraId="12DBAFF1" w14:textId="77777777" w:rsidR="007B0DC5" w:rsidRPr="00DF039E" w:rsidRDefault="007B0DC5" w:rsidP="007B0DC5">
      <w:pPr>
        <w:spacing w:after="0" w:line="240" w:lineRule="auto"/>
        <w:rPr>
          <w:rFonts w:eastAsia="Times New Roman" w:cs="Calibri"/>
          <w:color w:val="000000"/>
          <w:lang w:eastAsia="en-IE"/>
        </w:rPr>
      </w:pPr>
      <w:r w:rsidRPr="00DF039E">
        <w:rPr>
          <w:rFonts w:eastAsia="Times New Roman" w:cs="Calibri"/>
          <w:color w:val="000000"/>
          <w:lang w:eastAsia="en-IE"/>
        </w:rPr>
        <w:t>Tuberculosis (TB) is a leading cause of death from an infectious agent. Globally, there has been a marked increase in TB incidence and drug-resistant TB in the past two years. There is an urgent unmet clinical need for host-directed therapeutics and prophylactics capable of inducing effective respiratory immunity against the bacteria that causes TB; Mycobacterium tuberculosis (</w:t>
      </w:r>
      <w:proofErr w:type="spellStart"/>
      <w:r w:rsidRPr="00DF039E">
        <w:rPr>
          <w:rFonts w:eastAsia="Times New Roman" w:cs="Calibri"/>
          <w:color w:val="000000"/>
          <w:lang w:eastAsia="en-IE"/>
        </w:rPr>
        <w:t>Mtb</w:t>
      </w:r>
      <w:proofErr w:type="spellEnd"/>
      <w:r w:rsidRPr="00DF039E">
        <w:rPr>
          <w:rFonts w:eastAsia="Times New Roman" w:cs="Calibri"/>
          <w:color w:val="000000"/>
          <w:lang w:eastAsia="en-IE"/>
        </w:rPr>
        <w:t xml:space="preserve">).  </w:t>
      </w:r>
      <w:r w:rsidRPr="00DF039E">
        <w:rPr>
          <w:rFonts w:eastAsia="Times New Roman" w:cs="Calibri"/>
          <w:color w:val="000000"/>
          <w:lang w:eastAsia="en-IE"/>
        </w:rPr>
        <w:br/>
      </w:r>
      <w:r w:rsidRPr="00DF039E">
        <w:rPr>
          <w:rFonts w:eastAsia="Times New Roman" w:cs="Calibri"/>
          <w:color w:val="000000"/>
          <w:lang w:eastAsia="en-IE"/>
        </w:rPr>
        <w:br/>
        <w:t xml:space="preserve">Since the tissue resident alveolar macrophage (AM) is the first cell to encounter </w:t>
      </w:r>
      <w:proofErr w:type="spellStart"/>
      <w:r w:rsidRPr="00DF039E">
        <w:rPr>
          <w:rFonts w:eastAsia="Times New Roman" w:cs="Calibri"/>
          <w:color w:val="000000"/>
          <w:lang w:eastAsia="en-IE"/>
        </w:rPr>
        <w:t>Mtb</w:t>
      </w:r>
      <w:proofErr w:type="spellEnd"/>
      <w:r w:rsidRPr="00DF039E">
        <w:rPr>
          <w:rFonts w:eastAsia="Times New Roman" w:cs="Calibri"/>
          <w:color w:val="000000"/>
          <w:lang w:eastAsia="en-IE"/>
        </w:rPr>
        <w:t xml:space="preserve"> in the human lung, and the cell that becomes chronically infected leading to TB disease, supporting the immune function of this population, and the lung resident cells in proximity, is a rational therapeutic strategy to promote immune defence against </w:t>
      </w:r>
      <w:proofErr w:type="spellStart"/>
      <w:r w:rsidRPr="00DF039E">
        <w:rPr>
          <w:rFonts w:eastAsia="Times New Roman" w:cs="Calibri"/>
          <w:color w:val="000000"/>
          <w:lang w:eastAsia="en-IE"/>
        </w:rPr>
        <w:t>Mtb</w:t>
      </w:r>
      <w:proofErr w:type="spellEnd"/>
      <w:r w:rsidRPr="00DF039E">
        <w:rPr>
          <w:rFonts w:eastAsia="Times New Roman" w:cs="Calibri"/>
          <w:color w:val="000000"/>
          <w:lang w:eastAsia="en-IE"/>
        </w:rPr>
        <w:t xml:space="preserve"> infection.  Myeloid cells from the bone marrow have a capacity to be ‘trained’ towards enhanced host defence. Our recent work has shown that a COVID-19 adenovirus-vectored vaccine 'trained' monocytes towards enhanced non-specific immune responses to </w:t>
      </w:r>
      <w:proofErr w:type="spellStart"/>
      <w:r w:rsidRPr="00DF039E">
        <w:rPr>
          <w:rFonts w:eastAsia="Times New Roman" w:cs="Calibri"/>
          <w:color w:val="000000"/>
          <w:lang w:eastAsia="en-IE"/>
        </w:rPr>
        <w:t>Mtb</w:t>
      </w:r>
      <w:proofErr w:type="spellEnd"/>
      <w:r w:rsidRPr="00DF039E">
        <w:rPr>
          <w:rFonts w:eastAsia="Times New Roman" w:cs="Calibri"/>
          <w:color w:val="000000"/>
          <w:lang w:eastAsia="en-IE"/>
        </w:rPr>
        <w:t xml:space="preserve">. Our collaborator showed that aerosolised delivery of an adenovirus vectored vaccine against </w:t>
      </w:r>
      <w:proofErr w:type="spellStart"/>
      <w:r w:rsidRPr="00DF039E">
        <w:rPr>
          <w:rFonts w:eastAsia="Times New Roman" w:cs="Calibri"/>
          <w:color w:val="000000"/>
          <w:lang w:eastAsia="en-IE"/>
        </w:rPr>
        <w:t>Mtb</w:t>
      </w:r>
      <w:proofErr w:type="spellEnd"/>
      <w:r w:rsidRPr="00DF039E">
        <w:rPr>
          <w:rFonts w:eastAsia="Times New Roman" w:cs="Calibri"/>
          <w:color w:val="000000"/>
          <w:lang w:eastAsia="en-IE"/>
        </w:rPr>
        <w:t xml:space="preserve"> elicited immunity in the lung whereas intramuscular vaccination did not. Evidence from murine models of respiratory mucosal adenovirus vaccination indicates that murine AM can be 'trained' resulting in enhanced immunity to bacterial infection mediated by improved kinetics of myeloid cell recruitment. However, a significant knowledge gap human remains as to whether tissue resident human AM can be trained to promote immunity to </w:t>
      </w:r>
      <w:proofErr w:type="spellStart"/>
      <w:r w:rsidRPr="00DF039E">
        <w:rPr>
          <w:rFonts w:eastAsia="Times New Roman" w:cs="Calibri"/>
          <w:color w:val="000000"/>
          <w:lang w:eastAsia="en-IE"/>
        </w:rPr>
        <w:t>Mtb</w:t>
      </w:r>
      <w:proofErr w:type="spellEnd"/>
      <w:r w:rsidRPr="00DF039E">
        <w:rPr>
          <w:rFonts w:eastAsia="Times New Roman" w:cs="Calibri"/>
          <w:color w:val="000000"/>
          <w:lang w:eastAsia="en-IE"/>
        </w:rPr>
        <w:t xml:space="preserve">, and the mechanisms inducing and propagating trained immunity in the human lung.  </w:t>
      </w:r>
      <w:r w:rsidRPr="00DF039E">
        <w:rPr>
          <w:rFonts w:eastAsia="Times New Roman" w:cs="Calibri"/>
          <w:color w:val="000000"/>
          <w:lang w:eastAsia="en-IE"/>
        </w:rPr>
        <w:br/>
      </w:r>
      <w:r w:rsidRPr="00DF039E">
        <w:rPr>
          <w:rFonts w:eastAsia="Times New Roman" w:cs="Calibri"/>
          <w:color w:val="000000"/>
          <w:lang w:eastAsia="en-IE"/>
        </w:rPr>
        <w:br/>
        <w:t>This project will be the first to define the induction of trained immunity in human AM through evidence of functional and phenotypic changes in the human AM, underpinned by metabolic and epigenetic reprogramming. These crucial data will define the human AM as a critical target for respiratory mucosal prophylactic or therapeutic vaccination, enabling the translation of trained immunity towards the global effort to ‘End TB’.</w:t>
      </w:r>
    </w:p>
    <w:p w14:paraId="10F96D8C" w14:textId="77777777" w:rsidR="007B0DC5" w:rsidRDefault="007B0DC5" w:rsidP="007B0DC5">
      <w:pPr>
        <w:spacing w:after="120" w:line="276" w:lineRule="auto"/>
      </w:pPr>
    </w:p>
    <w:p w14:paraId="4BEC41CA" w14:textId="77777777" w:rsidR="007B0DC5" w:rsidRPr="0031762F" w:rsidRDefault="00B124F1" w:rsidP="00B124F1">
      <w:pPr>
        <w:pStyle w:val="Heading3"/>
      </w:pPr>
      <w:r>
        <w:t xml:space="preserve">15. </w:t>
      </w:r>
      <w:r w:rsidR="007B0DC5" w:rsidRPr="0031762F">
        <w:t>Lead Applicant: Dr Mary Canavan</w:t>
      </w:r>
      <w:r w:rsidR="007B0DC5" w:rsidRPr="0031762F">
        <w:tab/>
      </w:r>
    </w:p>
    <w:p w14:paraId="41A4C97C" w14:textId="77777777" w:rsidR="007B0DC5" w:rsidRDefault="007B0DC5" w:rsidP="00B124F1">
      <w:r w:rsidRPr="0031762F">
        <w:t>Project: Restoration of Immunological Tolerance in Rheumatoid Arthritis via Metabolic Reprogramming of Dendritic Cells</w:t>
      </w:r>
    </w:p>
    <w:p w14:paraId="69D2717C" w14:textId="77777777" w:rsidR="000C5410" w:rsidRPr="0031762F" w:rsidRDefault="000C5410" w:rsidP="00B124F1">
      <w:r w:rsidRPr="00BF0C41">
        <w:t>Patient-Oriented Research</w:t>
      </w:r>
    </w:p>
    <w:p w14:paraId="4958A146" w14:textId="77777777" w:rsidR="007B0DC5" w:rsidRDefault="007B0DC5" w:rsidP="00B124F1">
      <w:r w:rsidRPr="0031762F">
        <w:t>Award Amount: €</w:t>
      </w:r>
      <w:r w:rsidR="000D3DA1" w:rsidRPr="00784822">
        <w:t>428,997</w:t>
      </w:r>
    </w:p>
    <w:p w14:paraId="682FE49A" w14:textId="77777777" w:rsidR="00334B7B" w:rsidRPr="0031762F" w:rsidRDefault="00334B7B" w:rsidP="00B124F1">
      <w:r>
        <w:t>Lay summary</w:t>
      </w:r>
    </w:p>
    <w:p w14:paraId="1061D08C" w14:textId="77777777" w:rsidR="007B0DC5" w:rsidRDefault="007B0DC5" w:rsidP="007B0DC5">
      <w:pPr>
        <w:spacing w:after="120" w:line="276" w:lineRule="auto"/>
      </w:pPr>
      <w:r>
        <w:t>Rheumatoid Arthritis (RA) represents a major global public health challenge with approximately 1% of the world’s population suffering from this autoimmune</w:t>
      </w:r>
      <w:r w:rsidR="00334B7B">
        <w:t xml:space="preserve"> </w:t>
      </w:r>
      <w:r>
        <w:t>musculoskeletal disease. The disease follows a variable course in which periods of remission followed by disease flare are common. As such, in the absence of a cure, patients require ongoing and very often lifelong treatment.</w:t>
      </w:r>
    </w:p>
    <w:p w14:paraId="138A5438" w14:textId="77777777" w:rsidR="007B0DC5" w:rsidRDefault="007B0DC5" w:rsidP="007B0DC5">
      <w:pPr>
        <w:spacing w:after="120" w:line="276" w:lineRule="auto"/>
      </w:pPr>
      <w:r>
        <w:t xml:space="preserve">While environmental, genetic, and epigenetic factors have all been linked to the  development of RA, a key, initiating factor in disease development is the loss of immunological tolerance to self-antigens. Dendritic cells are widely accepted as having a nonredundant role in maintaining and controlling this tolerance to self-antigen whereby the breakdown of this function is a driving force in the onset of many autoimmune diseases. Therefore, therapeutically targeting DCs in a disease setting such as RA, may provide a unique opportunity to act as a molecular switch, moving DC away from autoreactivity </w:t>
      </w:r>
      <w:r>
        <w:lastRenderedPageBreak/>
        <w:t>towards tolerance. While previous groups have explored strategies to switch immunogenic DCs to tolerogenic cells or increasing the frequency or function of regulatory cells, strategies aimed at repairing or restoring dysfunctional tolerogenic DCs in vivo have yet to be explored.</w:t>
      </w:r>
    </w:p>
    <w:p w14:paraId="3CCD9527" w14:textId="77777777" w:rsidR="007B0DC5" w:rsidRDefault="007B0DC5" w:rsidP="007B0DC5">
      <w:pPr>
        <w:spacing w:after="120" w:line="276" w:lineRule="auto"/>
      </w:pPr>
      <w:r>
        <w:t>In this study we will examine the role of in vivo tolerogenic DC (</w:t>
      </w:r>
      <w:proofErr w:type="spellStart"/>
      <w:r>
        <w:t>TolDC</w:t>
      </w:r>
      <w:proofErr w:type="spellEnd"/>
      <w:r>
        <w:t xml:space="preserve">) for the first time. Specifically, we will examine the frequency, function and metabolism of </w:t>
      </w:r>
      <w:proofErr w:type="spellStart"/>
      <w:r>
        <w:t>TolDC</w:t>
      </w:r>
      <w:proofErr w:type="spellEnd"/>
      <w:r>
        <w:t xml:space="preserve"> within the circulation in addition to synovial tissue and synovial fluid. We will determine if dysfunctional </w:t>
      </w:r>
      <w:proofErr w:type="spellStart"/>
      <w:r>
        <w:t>TolDC</w:t>
      </w:r>
      <w:proofErr w:type="spellEnd"/>
      <w:r>
        <w:t xml:space="preserve"> drive the initiation and progression of RA by examining patients from across the spectrum of disease from individuals at risk (IAR) of developing RA ( or </w:t>
      </w:r>
      <w:proofErr w:type="gramStart"/>
      <w:r>
        <w:t>pre RA</w:t>
      </w:r>
      <w:proofErr w:type="gramEnd"/>
      <w:r>
        <w:t>) to early and established disease. Finally using unbiased computational sequencing approaches we will identify targetable pathways in RA that may restore immune tolerance, thus limiting synovial inflammation and progressing treatments to that which have more curative potential.</w:t>
      </w:r>
    </w:p>
    <w:p w14:paraId="35DFC479" w14:textId="77777777" w:rsidR="007B0DC5" w:rsidRDefault="007B0DC5" w:rsidP="007B0DC5">
      <w:pPr>
        <w:spacing w:after="120" w:line="276" w:lineRule="auto"/>
        <w:ind w:left="360"/>
      </w:pPr>
    </w:p>
    <w:p w14:paraId="64811E7C" w14:textId="77777777" w:rsidR="007B0DC5" w:rsidRPr="0031762F" w:rsidRDefault="00720BFC" w:rsidP="00720BFC">
      <w:pPr>
        <w:pStyle w:val="Heading3"/>
      </w:pPr>
      <w:r>
        <w:t xml:space="preserve">16. </w:t>
      </w:r>
      <w:r w:rsidR="007B0DC5" w:rsidRPr="0031762F">
        <w:t>Lead Applicant: Professor Eleanor Molloy</w:t>
      </w:r>
      <w:r w:rsidR="007B0DC5" w:rsidRPr="0031762F">
        <w:tab/>
      </w:r>
    </w:p>
    <w:p w14:paraId="487B74A8" w14:textId="77777777" w:rsidR="007B0DC5" w:rsidRDefault="007B0DC5" w:rsidP="00720BFC">
      <w:r w:rsidRPr="0031762F">
        <w:t xml:space="preserve">Project: The ALPACAS project: </w:t>
      </w:r>
      <w:proofErr w:type="spellStart"/>
      <w:r w:rsidRPr="0031762F">
        <w:t>ALtering</w:t>
      </w:r>
      <w:proofErr w:type="spellEnd"/>
      <w:r w:rsidRPr="0031762F">
        <w:t xml:space="preserve"> Persistent inflammation And multiorgan outcomes in children at high risk of Cerebral </w:t>
      </w:r>
      <w:proofErr w:type="spellStart"/>
      <w:r w:rsidRPr="0031762F">
        <w:t>pAlSy</w:t>
      </w:r>
      <w:proofErr w:type="spellEnd"/>
      <w:r w:rsidR="000C5410">
        <w:t xml:space="preserve"> </w:t>
      </w:r>
    </w:p>
    <w:p w14:paraId="4337234D" w14:textId="77777777" w:rsidR="000C5410" w:rsidRPr="0031762F" w:rsidRDefault="000C5410" w:rsidP="00720BFC">
      <w:r w:rsidRPr="00BF0C41">
        <w:t>Patient-Oriented Research</w:t>
      </w:r>
    </w:p>
    <w:p w14:paraId="35522BBF" w14:textId="77777777" w:rsidR="007B0DC5" w:rsidRPr="0031762F" w:rsidRDefault="007B0DC5" w:rsidP="00720BFC">
      <w:r w:rsidRPr="0031762F">
        <w:t>Award Amount: €</w:t>
      </w:r>
      <w:r w:rsidR="000D3DA1" w:rsidRPr="00521E1C">
        <w:t>428,450</w:t>
      </w:r>
    </w:p>
    <w:p w14:paraId="2C651202" w14:textId="77777777" w:rsidR="00720BFC" w:rsidRDefault="00334B7B" w:rsidP="007B0DC5">
      <w:pPr>
        <w:spacing w:after="120" w:line="276" w:lineRule="auto"/>
      </w:pPr>
      <w:r>
        <w:t>Lay summary</w:t>
      </w:r>
    </w:p>
    <w:p w14:paraId="3C70A57A" w14:textId="2FB557BF" w:rsidR="007B0DC5" w:rsidRPr="00480B35" w:rsidRDefault="007B0DC5" w:rsidP="007B0DC5">
      <w:pPr>
        <w:spacing w:after="120" w:line="276" w:lineRule="auto"/>
      </w:pPr>
      <w:r w:rsidRPr="00480B35">
        <w:t xml:space="preserve">Background: Cerebral palsy (CP) is a common cause of disability and mortality and represents a massive global burden of disease with 17 million people estimated to be affected worldwide. In addition to neurological complications, multi-organ dysfunction (MOD) is increasingly recognised and is associated with negative lifelong  </w:t>
      </w:r>
      <w:r w:rsidR="00831FA4" w:rsidRPr="00480B35">
        <w:t>impacts. There</w:t>
      </w:r>
      <w:r w:rsidRPr="00480B35">
        <w:t xml:space="preserve"> is no known cure for CP and the exact cause is often not determined  so we aim to integrate neuroimaging, genomics, perinatal data and biomarkers to improve sub classification of the aetiology of CP. </w:t>
      </w:r>
    </w:p>
    <w:p w14:paraId="48890F7D" w14:textId="77777777" w:rsidR="007B0DC5" w:rsidRPr="00480B35" w:rsidRDefault="007B0DC5" w:rsidP="007B0DC5">
      <w:pPr>
        <w:spacing w:after="120" w:line="276" w:lineRule="auto"/>
      </w:pPr>
      <w:r w:rsidRPr="00480B35">
        <w:t>Lifespan care  and multiorgan dysfunction: There is a lack of integration of care for people with CP across the life-course and no standardised management of MODs. We will quantify the degree of multi-organ dysfunction across the lifespan to allow earlier prediction of multiorgan outcomes and the development of precise multidisciplinary therapy for CP using multiorgan biomarkers.</w:t>
      </w:r>
    </w:p>
    <w:p w14:paraId="4D2403E7" w14:textId="77777777" w:rsidR="007B0DC5" w:rsidRPr="00480B35" w:rsidRDefault="007B0DC5" w:rsidP="007B0DC5">
      <w:pPr>
        <w:spacing w:after="120" w:line="276" w:lineRule="auto"/>
      </w:pPr>
      <w:r w:rsidRPr="00480B35">
        <w:t>Immune responses and persistent inflammation in CP: Persistent inflammation is well-described in animal models after neonatal brain injury correlating with neurodevelopmental issues and more recently in humans by our group. Irrespective of the cause of CP immune function dysregulation correlates with functional deficits in animal models and human infants and children. We will evaluate whether persistent dysregulated  immune function in infants, children and adults with CP links with clinical outcomes. Detailed immunophenotyping across the lifespan may have benefit as a biomarker of function, outcomes and to guide response to therapy.</w:t>
      </w:r>
    </w:p>
    <w:p w14:paraId="79B6986B" w14:textId="77777777" w:rsidR="007B0DC5" w:rsidRPr="00480B35" w:rsidRDefault="007B0DC5" w:rsidP="007B0DC5">
      <w:pPr>
        <w:spacing w:after="120" w:line="276" w:lineRule="auto"/>
      </w:pPr>
      <w:r w:rsidRPr="00480B35">
        <w:t>Personalised therapies: Individual immunophenotyping and individual responses to in vitro medications such as melatonin will assist in the development of personalised therapies for CP. This unique national and international project involves families and people with CP throughout and has the potential to transform the diagnostic processes, the multi-organ management and the creation of integrated evidence to increase function for all people with CP across the lifespan.</w:t>
      </w:r>
    </w:p>
    <w:p w14:paraId="6D024977" w14:textId="77777777" w:rsidR="007B0DC5" w:rsidRPr="0031762F" w:rsidRDefault="007B0DC5" w:rsidP="007B0DC5">
      <w:pPr>
        <w:rPr>
          <w:b/>
          <w:bCs/>
        </w:rPr>
      </w:pPr>
    </w:p>
    <w:p w14:paraId="0BC9392B" w14:textId="77777777" w:rsidR="007B0DC5" w:rsidRPr="0031762F" w:rsidRDefault="00720BFC" w:rsidP="00720BFC">
      <w:pPr>
        <w:pStyle w:val="Heading3"/>
      </w:pPr>
      <w:r>
        <w:t xml:space="preserve">17. </w:t>
      </w:r>
      <w:r w:rsidR="007B0DC5" w:rsidRPr="0031762F">
        <w:t>Lead Applicant: Professor Lorina Naci</w:t>
      </w:r>
      <w:r w:rsidR="007B0DC5" w:rsidRPr="0031762F">
        <w:tab/>
      </w:r>
    </w:p>
    <w:p w14:paraId="41A2DF7E" w14:textId="77777777" w:rsidR="007B0DC5" w:rsidRDefault="007B0DC5" w:rsidP="00720BFC">
      <w:r w:rsidRPr="0031762F">
        <w:t>Project: Longitudinal deep phenotyping in the international multi-site programme ‘PREVENT Dementia</w:t>
      </w:r>
    </w:p>
    <w:p w14:paraId="2064B972" w14:textId="77777777" w:rsidR="000C5410" w:rsidRPr="0031762F" w:rsidRDefault="000C5410" w:rsidP="00720BFC">
      <w:r w:rsidRPr="00BF0C41">
        <w:t>Patient-Oriented Research</w:t>
      </w:r>
    </w:p>
    <w:p w14:paraId="532B07A1" w14:textId="77777777" w:rsidR="007B0DC5" w:rsidRDefault="007B0DC5" w:rsidP="00720BFC">
      <w:pPr>
        <w:rPr>
          <w:rFonts w:cs="Calibri"/>
          <w:lang w:val="en-US"/>
        </w:rPr>
      </w:pPr>
      <w:r w:rsidRPr="0031762F">
        <w:t xml:space="preserve">Award Amount: </w:t>
      </w:r>
      <w:r w:rsidRPr="0031762F">
        <w:rPr>
          <w:rFonts w:cs="Calibri"/>
          <w:lang w:val="en-US"/>
        </w:rPr>
        <w:t>€</w:t>
      </w:r>
      <w:r w:rsidR="000D3DA1" w:rsidRPr="004103B7">
        <w:rPr>
          <w:rFonts w:cs="Calibri"/>
          <w:lang w:val="en-US"/>
        </w:rPr>
        <w:t>452,648</w:t>
      </w:r>
    </w:p>
    <w:p w14:paraId="34D094B0" w14:textId="77777777" w:rsidR="00720BFC" w:rsidRPr="0031762F" w:rsidRDefault="00720BFC" w:rsidP="00720BFC">
      <w:r>
        <w:rPr>
          <w:rFonts w:cs="Calibri"/>
          <w:lang w:val="en-US"/>
        </w:rPr>
        <w:t>Lay summary</w:t>
      </w:r>
    </w:p>
    <w:p w14:paraId="40E4FEAD" w14:textId="77777777" w:rsidR="007B0DC5" w:rsidRPr="00DF039E" w:rsidRDefault="007B0DC5" w:rsidP="007B0DC5">
      <w:pPr>
        <w:spacing w:after="0" w:line="240" w:lineRule="auto"/>
        <w:rPr>
          <w:rFonts w:eastAsia="Times New Roman" w:cs="Calibri"/>
          <w:color w:val="000000"/>
          <w:lang w:eastAsia="en-IE"/>
        </w:rPr>
      </w:pPr>
      <w:r w:rsidRPr="00DF039E">
        <w:rPr>
          <w:rFonts w:eastAsia="Times New Roman" w:cs="Calibri"/>
          <w:color w:val="000000"/>
          <w:lang w:eastAsia="en-IE"/>
        </w:rPr>
        <w:t xml:space="preserve">There is now consensus that neurodegenerative disease, including Alzheimer’s disease (AD), starts in mid-life and manifests in later life as dementia and related disorders, but the understanding of early disease mechanisms is lacking. The PREVENT dementia programme is the world’s largest study investigating the origins and early diagnosis of dementia in a mid-life “at risk” cohort. It has recruited and deeply </w:t>
      </w:r>
      <w:proofErr w:type="spellStart"/>
      <w:r w:rsidRPr="00DF039E">
        <w:rPr>
          <w:rFonts w:eastAsia="Times New Roman" w:cs="Calibri"/>
          <w:color w:val="000000"/>
          <w:lang w:eastAsia="en-IE"/>
        </w:rPr>
        <w:t>phenotyped</w:t>
      </w:r>
      <w:proofErr w:type="spellEnd"/>
      <w:r w:rsidRPr="00DF039E">
        <w:rPr>
          <w:rFonts w:eastAsia="Times New Roman" w:cs="Calibri"/>
          <w:color w:val="000000"/>
          <w:lang w:eastAsia="en-IE"/>
        </w:rPr>
        <w:t xml:space="preserve"> 700 participants aged 40-59, across five centres in the UK, and at Trinity College Dublin, in Ireland. Core assessments include cognitive testing, neuropsychiatric evaluation, genetics, lifestyle risk factor analysis, and multi-modal MRI imaging, with samples of blood, urine, saliva and CSF collected. The programme has undertaken recruitment, with wave 2 (3 year) follow-up in all sites with excellent retention, and wave 3 (7 year) follow-up ongoing in the UK sites. This application seeks funding to carry out wave 3 at Trinity College Dublin.</w:t>
      </w:r>
      <w:r w:rsidRPr="00DF039E">
        <w:rPr>
          <w:rFonts w:eastAsia="Times New Roman" w:cs="Calibri"/>
          <w:color w:val="000000"/>
          <w:lang w:eastAsia="en-IE"/>
        </w:rPr>
        <w:br/>
      </w:r>
      <w:r w:rsidRPr="00DF039E">
        <w:rPr>
          <w:rFonts w:eastAsia="Times New Roman" w:cs="Calibri"/>
          <w:color w:val="000000"/>
          <w:lang w:eastAsia="en-IE"/>
        </w:rPr>
        <w:br/>
        <w:t>Our findings have already had great impact, identifying early cognitive, vascular, metabolic, and structural changes that develop 20 years before disease onset, and providing key evidence defining the optimal age to target early therapeutics. This unique dataset at 3 waves, as participants approach symptomatic stages, will address key mechanistic and diagnostic questions, including the relationship between progressive vascular, metabolic, and brain functional and structural changes as the disease develops.</w:t>
      </w:r>
      <w:r w:rsidRPr="00DF039E">
        <w:rPr>
          <w:rFonts w:eastAsia="Times New Roman" w:cs="Calibri"/>
          <w:color w:val="000000"/>
          <w:lang w:eastAsia="en-IE"/>
        </w:rPr>
        <w:br/>
      </w:r>
      <w:r w:rsidRPr="00DF039E">
        <w:rPr>
          <w:rFonts w:eastAsia="Times New Roman" w:cs="Calibri"/>
          <w:color w:val="000000"/>
          <w:lang w:eastAsia="en-IE"/>
        </w:rPr>
        <w:br/>
        <w:t>This pathophysiological mechanistic understanding will be critical for identifying (a) novel, early and sensitive biomarkers, (b) tractable mechanisms for targeting therapeutics and designing clinical trials, and (c) how and when to optimally apply new diagnostic tools and biomarkers for early dementia detection. The project will significantly enhance Ireland’s competitiveness in knowledge generation, human capacity, health and wellbeing, professional services, and international engagement.</w:t>
      </w:r>
    </w:p>
    <w:p w14:paraId="2C0B0B6A" w14:textId="77777777" w:rsidR="007B0DC5" w:rsidRDefault="007B0DC5" w:rsidP="007B0DC5">
      <w:pPr>
        <w:spacing w:after="120" w:line="276" w:lineRule="auto"/>
      </w:pPr>
    </w:p>
    <w:p w14:paraId="3EC1AFCF" w14:textId="77777777" w:rsidR="007B0DC5" w:rsidRPr="00806459" w:rsidRDefault="00720BFC" w:rsidP="004F181E">
      <w:pPr>
        <w:pStyle w:val="Heading3"/>
      </w:pPr>
      <w:r>
        <w:t xml:space="preserve">18. </w:t>
      </w:r>
      <w:r w:rsidR="007B0DC5" w:rsidRPr="00806459">
        <w:t>Lead Applicant: Dr Colm Cunningham</w:t>
      </w:r>
      <w:r w:rsidR="007B0DC5" w:rsidRPr="00806459">
        <w:tab/>
      </w:r>
    </w:p>
    <w:p w14:paraId="27826AEC" w14:textId="77777777" w:rsidR="007B0DC5" w:rsidRDefault="007B0DC5" w:rsidP="00720BFC">
      <w:r w:rsidRPr="00806459">
        <w:t>Project: Understanding new brain injury in hip fracture patients</w:t>
      </w:r>
    </w:p>
    <w:p w14:paraId="514CA797" w14:textId="77777777" w:rsidR="000C5410" w:rsidRPr="00806459" w:rsidRDefault="000C5410" w:rsidP="00720BFC">
      <w:r w:rsidRPr="00BF0C41">
        <w:t>Patient-Oriented Research</w:t>
      </w:r>
    </w:p>
    <w:p w14:paraId="04C62D1E" w14:textId="77777777" w:rsidR="007B0DC5" w:rsidRDefault="007B0DC5" w:rsidP="00720BFC">
      <w:r w:rsidRPr="00806459">
        <w:t>Award Amount: €</w:t>
      </w:r>
      <w:r w:rsidR="000D3DA1" w:rsidRPr="00521E1C">
        <w:t>428,458</w:t>
      </w:r>
    </w:p>
    <w:p w14:paraId="41BD8288" w14:textId="77777777" w:rsidR="00720BFC" w:rsidRPr="00806459" w:rsidRDefault="004F181E" w:rsidP="00720BFC">
      <w:r>
        <w:t>Lay summary</w:t>
      </w:r>
    </w:p>
    <w:p w14:paraId="1E4582CF" w14:textId="77777777" w:rsidR="007B0DC5" w:rsidRPr="00DF039E" w:rsidRDefault="007B0DC5" w:rsidP="007B0DC5">
      <w:pPr>
        <w:spacing w:after="0" w:line="240" w:lineRule="auto"/>
        <w:rPr>
          <w:rFonts w:eastAsia="Times New Roman" w:cs="Calibri"/>
          <w:color w:val="000000"/>
          <w:lang w:eastAsia="en-IE"/>
        </w:rPr>
      </w:pPr>
      <w:r w:rsidRPr="00DF039E">
        <w:rPr>
          <w:rFonts w:eastAsia="Times New Roman" w:cs="Calibri"/>
          <w:color w:val="000000"/>
          <w:lang w:eastAsia="en-IE"/>
        </w:rPr>
        <w:t xml:space="preserve">Hip fracture has negative consequences for the brain. Many patients develop delirium, a psychiatric condition during which they may lose their ability to process or sustain attention to what is happening in their environment and also may experience distressing and fearful periods of days to weeks. Although delirium is acute onset and usually transient it has become clear that these episodes are associated with new dementia diagnosis, acceleration of existing dementia and shortened time to permanent institutionalisation and/or death. How hip fracture causes these negative effects is not clear. Using blood and cerebrospinal fluid (CSF) from 470 hip fracture patients </w:t>
      </w:r>
      <w:r w:rsidRPr="00DF039E">
        <w:rPr>
          <w:rFonts w:eastAsia="Times New Roman" w:cs="Calibri"/>
          <w:color w:val="000000"/>
          <w:lang w:eastAsia="en-IE"/>
        </w:rPr>
        <w:lastRenderedPageBreak/>
        <w:t>and 180 Alzheimer’s disease (AD) patients, we have recently demonstrated that this acute inflammatory trauma triggers new brain injury as measured by the neuroaxonal injury marker neurofilament light chain (</w:t>
      </w:r>
      <w:proofErr w:type="spellStart"/>
      <w:r w:rsidRPr="00DF039E">
        <w:rPr>
          <w:rFonts w:eastAsia="Times New Roman" w:cs="Calibri"/>
          <w:color w:val="000000"/>
          <w:lang w:eastAsia="en-IE"/>
        </w:rPr>
        <w:t>NfL</w:t>
      </w:r>
      <w:proofErr w:type="spellEnd"/>
      <w:r w:rsidRPr="00DF039E">
        <w:rPr>
          <w:rFonts w:eastAsia="Times New Roman" w:cs="Calibri"/>
          <w:color w:val="000000"/>
          <w:lang w:eastAsia="en-IE"/>
        </w:rPr>
        <w:t>). In this proposal, in order to identify pathways to this acute brain injury, we will use blood and CSF from these same patients to identify and quantify molecules and pathways involved in energy metabolism and inflammation that are activated in these patients. We will integrate our findings from humans with a unique set of experiments in a custom-designed experimental mouse model. We will use the APP/PS1 mouse model for AD (transgenic mice carrying a human double mutation that leads to early onset AD in humans) and challenge these mice peripherally with IL-1ß in order to induce acute systemic inflammation. We will then examine acute cognitive impairment and new brain injury and will use innovative chemical sensors to examine brain bioenergetic changes in real-time, measuring glucose, lactate and oxygen in the brain. We will then test potential therapeutic interventions that  may protect the brain against injury. We hope to elucidate mechanisms driving this injury, in order to move towards treatments that may mitigate delirium and slow dementia progression.</w:t>
      </w:r>
    </w:p>
    <w:p w14:paraId="6BB80C26" w14:textId="77777777" w:rsidR="008D7980" w:rsidRDefault="008D7980" w:rsidP="00E40188">
      <w:pPr>
        <w:spacing w:after="120" w:line="276" w:lineRule="auto"/>
      </w:pPr>
    </w:p>
    <w:p w14:paraId="0EB6FC8D" w14:textId="77777777" w:rsidR="00530B34" w:rsidRPr="00704A64" w:rsidRDefault="004F181E" w:rsidP="004F181E">
      <w:pPr>
        <w:pStyle w:val="Heading3"/>
      </w:pPr>
      <w:r>
        <w:t xml:space="preserve">19. </w:t>
      </w:r>
      <w:r w:rsidR="00530B34" w:rsidRPr="00704A64">
        <w:t>Lead Applicant: Dr Emer Guinan</w:t>
      </w:r>
      <w:r w:rsidR="00530B34" w:rsidRPr="00704A64">
        <w:tab/>
      </w:r>
    </w:p>
    <w:p w14:paraId="1D0372AF" w14:textId="77777777" w:rsidR="00530B34" w:rsidRDefault="00530B34" w:rsidP="004F181E">
      <w:r w:rsidRPr="00704A64">
        <w:t>Project: Personalised Exercise Rehabilitation in Cancer Survivorship (PERCS) 2.0 – Developing an Evidence-Informed National Implementation Strategy</w:t>
      </w:r>
    </w:p>
    <w:p w14:paraId="285365AA" w14:textId="77777777" w:rsidR="00530B34" w:rsidRPr="00704A64" w:rsidRDefault="00530B34" w:rsidP="004F181E">
      <w:r>
        <w:t>Health Services Research</w:t>
      </w:r>
    </w:p>
    <w:p w14:paraId="226FE62E" w14:textId="77777777" w:rsidR="00530B34" w:rsidRDefault="00530B34" w:rsidP="004F181E">
      <w:r w:rsidRPr="00704A64">
        <w:t>Award Amount: €</w:t>
      </w:r>
      <w:r w:rsidR="000D3DA1" w:rsidRPr="0043609D">
        <w:t>411,634</w:t>
      </w:r>
    </w:p>
    <w:p w14:paraId="39DE27C3" w14:textId="77777777" w:rsidR="004F181E" w:rsidRPr="00704A64" w:rsidRDefault="004F181E" w:rsidP="004F181E">
      <w:r>
        <w:t xml:space="preserve">Lay summary </w:t>
      </w:r>
    </w:p>
    <w:p w14:paraId="1AA82E65" w14:textId="77777777" w:rsidR="00530B34" w:rsidRPr="00727C4F" w:rsidRDefault="00530B34" w:rsidP="00530B34">
      <w:pPr>
        <w:rPr>
          <w:rFonts w:cs="Calibri"/>
        </w:rPr>
      </w:pPr>
      <w:r w:rsidRPr="00727C4F">
        <w:rPr>
          <w:rFonts w:cs="Calibri"/>
        </w:rPr>
        <w:t>Background</w:t>
      </w:r>
      <w:r>
        <w:rPr>
          <w:rFonts w:cs="Calibri"/>
        </w:rPr>
        <w:t xml:space="preserve">: </w:t>
      </w:r>
      <w:r w:rsidRPr="00727C4F">
        <w:rPr>
          <w:rFonts w:cs="Calibri"/>
        </w:rPr>
        <w:t>Compelling evidence from randomised trials shows that exercise positively impacts physical, psychosocial, and disease-related outcomes for cancer survivors [1-6]. Oncology guidance is explicit that we must implement exercise into cancer care. To achieve this, the research team developed PERCS, a triage and referral system which assess patients’ level of exercise need and refers patients to suitable exercise services.  PERCS 1.0 (January 2022-October 2023) tested the feasibility of the system, demonstrating high patient acceptability and improvements in physical activity levels.</w:t>
      </w:r>
    </w:p>
    <w:p w14:paraId="4108A844" w14:textId="77777777" w:rsidR="00530B34" w:rsidRPr="00727C4F" w:rsidRDefault="00530B34" w:rsidP="00530B34">
      <w:pPr>
        <w:rPr>
          <w:rFonts w:cs="Calibri"/>
        </w:rPr>
      </w:pPr>
      <w:r w:rsidRPr="00727C4F">
        <w:rPr>
          <w:rFonts w:cs="Calibri"/>
        </w:rPr>
        <w:t>Aim</w:t>
      </w:r>
      <w:r>
        <w:rPr>
          <w:rFonts w:cs="Calibri"/>
        </w:rPr>
        <w:t xml:space="preserve">: </w:t>
      </w:r>
      <w:r w:rsidRPr="00727C4F">
        <w:rPr>
          <w:rFonts w:cs="Calibri"/>
        </w:rPr>
        <w:t>The aim of PERCS 2.0 is to develop a cost-effective strategy for national implementation of the PERCS system as a means of advancing integration of exercise into cancer care.</w:t>
      </w:r>
    </w:p>
    <w:p w14:paraId="042C0ECD" w14:textId="77777777" w:rsidR="00530B34" w:rsidRDefault="00530B34" w:rsidP="00530B34">
      <w:pPr>
        <w:rPr>
          <w:rFonts w:cs="Calibri"/>
        </w:rPr>
      </w:pPr>
      <w:r w:rsidRPr="00727C4F">
        <w:rPr>
          <w:rFonts w:cs="Calibri"/>
        </w:rPr>
        <w:t>Methods</w:t>
      </w:r>
      <w:r>
        <w:rPr>
          <w:rFonts w:cs="Calibri"/>
        </w:rPr>
        <w:t xml:space="preserve">: </w:t>
      </w:r>
      <w:r w:rsidRPr="00727C4F">
        <w:rPr>
          <w:rFonts w:cs="Calibri"/>
        </w:rPr>
        <w:t>Work stream 1 aims to estimate the cost effectiveness of PERCS using a model-based simulation. Drawing on best available evidence (i.e., systematic reviews, PERCS 1.0 and evidence emerging in PERCS 2.0), the effectiveness of PERCS in improving QALYs will be estimated. We will gather evidence related to the required resourcing to implement PERCS, the cost (and expected budget impact) of PERCS, including downstream out-of-pocket costs (or subsidies) of exercise programs in the community. Finally, by considering wider healthcare use for cancer patients, reduction in total cost and the incremental cost effectiveness of PERCS will be estimated.</w:t>
      </w:r>
    </w:p>
    <w:p w14:paraId="294076A3" w14:textId="77777777" w:rsidR="00530B34" w:rsidRDefault="00530B34" w:rsidP="00530B34">
      <w:pPr>
        <w:rPr>
          <w:rFonts w:cs="Calibri"/>
        </w:rPr>
      </w:pPr>
      <w:r w:rsidRPr="00727C4F">
        <w:rPr>
          <w:rFonts w:cs="Calibri"/>
        </w:rPr>
        <w:t xml:space="preserve">Work stream 2 will develop an implementation strategy for PERCS. Using the Consolidated Framework for Implementation Research (CFIR) we will work with stakeholders from healthcare, community, policy and patients to identify the barriers and facilitators to embedding PERCS. We will identify potentially relevant individual strategies from the ERIC (Expert Recommendations for Implementing Change) taxonomy of implementation strategies to address barriers using the CFIR-ERIC matching tool. Finally, we will work with stakeholders to select the most important strategies, </w:t>
      </w:r>
      <w:r w:rsidRPr="00727C4F">
        <w:rPr>
          <w:rFonts w:cs="Calibri"/>
        </w:rPr>
        <w:lastRenderedPageBreak/>
        <w:t>determine what they will look like in our context, and co-design a multi-faceted implementation strategy.</w:t>
      </w:r>
    </w:p>
    <w:p w14:paraId="29140C7B" w14:textId="77777777" w:rsidR="00530B34" w:rsidRDefault="00530B34" w:rsidP="00E40188">
      <w:pPr>
        <w:spacing w:after="120" w:line="276" w:lineRule="auto"/>
      </w:pPr>
    </w:p>
    <w:p w14:paraId="012F862E" w14:textId="77777777" w:rsidR="00530B34" w:rsidRPr="004E7060" w:rsidRDefault="004F181E" w:rsidP="004F181E">
      <w:pPr>
        <w:pStyle w:val="Heading3"/>
      </w:pPr>
      <w:r>
        <w:t xml:space="preserve">20. </w:t>
      </w:r>
      <w:r w:rsidR="00530B34" w:rsidRPr="004E7060">
        <w:t>Professor Rose Anne Kenny</w:t>
      </w:r>
      <w:r w:rsidR="00530B34" w:rsidRPr="004E7060">
        <w:tab/>
      </w:r>
    </w:p>
    <w:p w14:paraId="173B4EBB" w14:textId="77777777" w:rsidR="00530B34" w:rsidRDefault="00530B34" w:rsidP="004F181E">
      <w:r w:rsidRPr="004E7060">
        <w:t xml:space="preserve">Project: </w:t>
      </w:r>
      <w:proofErr w:type="spellStart"/>
      <w:r w:rsidRPr="004E7060">
        <w:t>ProjectHealth</w:t>
      </w:r>
      <w:proofErr w:type="spellEnd"/>
      <w:r w:rsidRPr="004E7060">
        <w:t>: Projecting 20-year Multimorbidity trends and their effect on Health Care Usage, Costs and Quality of Life in older Irish adults</w:t>
      </w:r>
    </w:p>
    <w:p w14:paraId="5948225E" w14:textId="77777777" w:rsidR="00530B34" w:rsidRPr="004E7060" w:rsidRDefault="00530B34" w:rsidP="004F181E">
      <w:r w:rsidRPr="00FE1267">
        <w:t>P</w:t>
      </w:r>
      <w:r>
        <w:t xml:space="preserve">opulation </w:t>
      </w:r>
      <w:r w:rsidRPr="00FE1267">
        <w:t>H</w:t>
      </w:r>
      <w:r>
        <w:t xml:space="preserve">ealth </w:t>
      </w:r>
      <w:r w:rsidRPr="00FE1267">
        <w:t>R</w:t>
      </w:r>
      <w:r>
        <w:t>esearch</w:t>
      </w:r>
    </w:p>
    <w:p w14:paraId="3F5B4B99" w14:textId="77777777" w:rsidR="00530B34" w:rsidRDefault="00530B34" w:rsidP="004F181E">
      <w:r w:rsidRPr="004E7060">
        <w:t>Award Amount: €</w:t>
      </w:r>
      <w:r w:rsidR="000D3DA1" w:rsidRPr="0043609D">
        <w:t>411,728</w:t>
      </w:r>
    </w:p>
    <w:p w14:paraId="2C700DD7" w14:textId="77777777" w:rsidR="004F181E" w:rsidRPr="004E7060" w:rsidRDefault="004F181E" w:rsidP="004F181E">
      <w:r>
        <w:t>Lay summary</w:t>
      </w:r>
    </w:p>
    <w:p w14:paraId="61CFC21A" w14:textId="77777777" w:rsidR="00530B34" w:rsidRPr="00727C4F" w:rsidRDefault="00530B34" w:rsidP="00530B34">
      <w:pPr>
        <w:rPr>
          <w:rFonts w:cs="Calibri"/>
        </w:rPr>
      </w:pPr>
      <w:r w:rsidRPr="00727C4F">
        <w:rPr>
          <w:rFonts w:cs="Calibri"/>
        </w:rPr>
        <w:t>Global population ageing has reached unprecedented levels. But for many, living longer means living with increased levels of disease and disability. In Ireland 91% of individuals aged 50+ have ≥1 chronic disease and 75% have ≥2, known as multimorbidity. This demographic ‘greying’ of the population with concomitant increases in older people living with multimorbidity presents a challenge to the sustainability of our healthcare, welfare, and social care systems.</w:t>
      </w:r>
    </w:p>
    <w:p w14:paraId="7A5646D8" w14:textId="77777777" w:rsidR="00530B34" w:rsidRPr="00727C4F" w:rsidRDefault="00530B34" w:rsidP="00530B34">
      <w:pPr>
        <w:rPr>
          <w:rFonts w:cs="Calibri"/>
        </w:rPr>
      </w:pPr>
      <w:r w:rsidRPr="00727C4F">
        <w:rPr>
          <w:rFonts w:cs="Calibri"/>
        </w:rPr>
        <w:t xml:space="preserve">Health and social care reform is currently progressing under the cross-government </w:t>
      </w:r>
      <w:proofErr w:type="spellStart"/>
      <w:r w:rsidRPr="00727C4F">
        <w:rPr>
          <w:rFonts w:cs="Calibri"/>
        </w:rPr>
        <w:t>Sláintecare</w:t>
      </w:r>
      <w:proofErr w:type="spellEnd"/>
      <w:r w:rsidRPr="00727C4F">
        <w:rPr>
          <w:rFonts w:cs="Calibri"/>
        </w:rPr>
        <w:t xml:space="preserve"> plan, which will deliver equitable needs-based access to services. </w:t>
      </w:r>
      <w:proofErr w:type="spellStart"/>
      <w:r w:rsidRPr="00727C4F">
        <w:rPr>
          <w:rFonts w:cs="Calibri"/>
        </w:rPr>
        <w:t>Sláintecare</w:t>
      </w:r>
      <w:proofErr w:type="spellEnd"/>
      <w:r w:rsidRPr="00727C4F">
        <w:rPr>
          <w:rFonts w:cs="Calibri"/>
        </w:rPr>
        <w:t xml:space="preserve"> implementation requires robust population-level evidence of current and projected need to ensure strategic service planning and delivery to manage soaring multimorbidity. This includes robust forecasts of health care service usage and costs.</w:t>
      </w:r>
    </w:p>
    <w:p w14:paraId="5AE8BFC8" w14:textId="77777777" w:rsidR="00530B34" w:rsidRPr="00727C4F" w:rsidRDefault="00530B34" w:rsidP="00530B34">
      <w:pPr>
        <w:rPr>
          <w:rFonts w:cs="Calibri"/>
        </w:rPr>
      </w:pPr>
      <w:r w:rsidRPr="00727C4F">
        <w:rPr>
          <w:rFonts w:cs="Calibri"/>
        </w:rPr>
        <w:t xml:space="preserve">The </w:t>
      </w:r>
      <w:proofErr w:type="spellStart"/>
      <w:r w:rsidRPr="00727C4F">
        <w:rPr>
          <w:rFonts w:cs="Calibri"/>
        </w:rPr>
        <w:t>ProjectHealth</w:t>
      </w:r>
      <w:proofErr w:type="spellEnd"/>
      <w:r w:rsidRPr="00727C4F">
        <w:rPr>
          <w:rFonts w:cs="Calibri"/>
        </w:rPr>
        <w:t xml:space="preserve"> (Projecting 20-year Multimorbidity trends and their effect on Health Care Usage, Costs and Quality of Life in older Irish adults) research programme will address this knowledge gap with data-based evidence. </w:t>
      </w:r>
      <w:proofErr w:type="spellStart"/>
      <w:r w:rsidRPr="00727C4F">
        <w:rPr>
          <w:rFonts w:cs="Calibri"/>
        </w:rPr>
        <w:t>ProjectHealth</w:t>
      </w:r>
      <w:proofErr w:type="spellEnd"/>
      <w:r w:rsidRPr="00727C4F">
        <w:rPr>
          <w:rFonts w:cs="Calibri"/>
        </w:rPr>
        <w:t xml:space="preserve"> will tackle the health and social care challenge of multimorbidity by characterising multimorbidity </w:t>
      </w:r>
      <w:proofErr w:type="gramStart"/>
      <w:r w:rsidRPr="00727C4F">
        <w:rPr>
          <w:rFonts w:cs="Calibri"/>
        </w:rPr>
        <w:t>trajectories;</w:t>
      </w:r>
      <w:proofErr w:type="gramEnd"/>
      <w:r w:rsidRPr="00727C4F">
        <w:rPr>
          <w:rFonts w:cs="Calibri"/>
        </w:rPr>
        <w:t xml:space="preserve"> identifying which disease combinations impact on early mortality and quality-of-life and providing projections for service planning and delivery. Co-designed by the Irish Longitudinal Study on Ageing (TILDA), and the Health Service Executive (HSE), </w:t>
      </w:r>
      <w:proofErr w:type="spellStart"/>
      <w:r w:rsidRPr="00727C4F">
        <w:rPr>
          <w:rFonts w:cs="Calibri"/>
        </w:rPr>
        <w:t>ProjectHealth</w:t>
      </w:r>
      <w:proofErr w:type="spellEnd"/>
      <w:r w:rsidRPr="00727C4F">
        <w:rPr>
          <w:rFonts w:cs="Calibri"/>
        </w:rPr>
        <w:t xml:space="preserve"> will use data from TILDA, a study on adults aged 50+ in Ireland, to:</w:t>
      </w:r>
    </w:p>
    <w:p w14:paraId="2E124A7A" w14:textId="77777777" w:rsidR="00530B34" w:rsidRPr="00727C4F" w:rsidRDefault="00530B34" w:rsidP="00530B34">
      <w:pPr>
        <w:pStyle w:val="ListParagraph"/>
        <w:numPr>
          <w:ilvl w:val="0"/>
          <w:numId w:val="14"/>
        </w:numPr>
        <w:spacing w:line="278" w:lineRule="auto"/>
        <w:rPr>
          <w:rFonts w:cs="Calibri"/>
        </w:rPr>
      </w:pPr>
      <w:r w:rsidRPr="00727C4F">
        <w:rPr>
          <w:rFonts w:cs="Calibri"/>
        </w:rPr>
        <w:t>Conduct cutting-edge research into multimorbidity trajectories</w:t>
      </w:r>
    </w:p>
    <w:p w14:paraId="0EBFF69A" w14:textId="77777777" w:rsidR="00530B34" w:rsidRPr="00727C4F" w:rsidRDefault="00530B34" w:rsidP="00530B34">
      <w:pPr>
        <w:pStyle w:val="ListParagraph"/>
        <w:numPr>
          <w:ilvl w:val="0"/>
          <w:numId w:val="14"/>
        </w:numPr>
        <w:spacing w:line="278" w:lineRule="auto"/>
        <w:rPr>
          <w:rFonts w:cs="Calibri"/>
        </w:rPr>
      </w:pPr>
      <w:r w:rsidRPr="00727C4F">
        <w:rPr>
          <w:rFonts w:cs="Calibri"/>
        </w:rPr>
        <w:t xml:space="preserve">Provide 20-year projections of multimorbidity </w:t>
      </w:r>
      <w:proofErr w:type="gramStart"/>
      <w:r w:rsidRPr="00727C4F">
        <w:rPr>
          <w:rFonts w:cs="Calibri"/>
        </w:rPr>
        <w:t>prevalence;</w:t>
      </w:r>
      <w:proofErr w:type="gramEnd"/>
      <w:r w:rsidRPr="00727C4F">
        <w:rPr>
          <w:rFonts w:cs="Calibri"/>
        </w:rPr>
        <w:t xml:space="preserve"> health care usage and costs</w:t>
      </w:r>
    </w:p>
    <w:p w14:paraId="756421F9" w14:textId="77777777" w:rsidR="00530B34" w:rsidRPr="00727C4F" w:rsidRDefault="00530B34" w:rsidP="00530B34">
      <w:pPr>
        <w:pStyle w:val="ListParagraph"/>
        <w:numPr>
          <w:ilvl w:val="0"/>
          <w:numId w:val="14"/>
        </w:numPr>
        <w:spacing w:line="278" w:lineRule="auto"/>
        <w:rPr>
          <w:rFonts w:cs="Calibri"/>
        </w:rPr>
      </w:pPr>
      <w:r w:rsidRPr="00727C4F">
        <w:rPr>
          <w:rFonts w:cs="Calibri"/>
        </w:rPr>
        <w:t>Investigate how multimorbidity impacts on quality and quantity of life</w:t>
      </w:r>
    </w:p>
    <w:p w14:paraId="1D7837DC" w14:textId="77777777" w:rsidR="00530B34" w:rsidRPr="00727C4F" w:rsidRDefault="00530B34" w:rsidP="00530B34">
      <w:pPr>
        <w:rPr>
          <w:rFonts w:cs="Calibri"/>
        </w:rPr>
      </w:pPr>
      <w:proofErr w:type="spellStart"/>
      <w:r w:rsidRPr="00727C4F">
        <w:rPr>
          <w:rFonts w:cs="Calibri"/>
        </w:rPr>
        <w:t>ProjectHealth</w:t>
      </w:r>
      <w:proofErr w:type="spellEnd"/>
      <w:r w:rsidRPr="00727C4F">
        <w:rPr>
          <w:rFonts w:cs="Calibri"/>
        </w:rPr>
        <w:t xml:space="preserve"> will address national and international knowledge gaps in multimorbidity and will directly impact on service and resource planning for the HSE. The outputs of this research will lead the way to determine future studies to develop targeted intervention and prevention strategies for multimorbidity to improve health, wellbeing, and quality of life.</w:t>
      </w:r>
    </w:p>
    <w:p w14:paraId="2803A3B4" w14:textId="77777777" w:rsidR="008D7980" w:rsidRDefault="008D7980">
      <w:r>
        <w:br w:type="page"/>
      </w:r>
    </w:p>
    <w:p w14:paraId="2EABED62" w14:textId="77777777" w:rsidR="00E40188" w:rsidRDefault="00E40188" w:rsidP="00740D0D">
      <w:pPr>
        <w:spacing w:before="120" w:after="120" w:line="276" w:lineRule="auto"/>
      </w:pPr>
    </w:p>
    <w:p w14:paraId="14BE9CE6" w14:textId="77777777" w:rsidR="00E40188" w:rsidRPr="004F181E" w:rsidRDefault="00E40188" w:rsidP="004F181E">
      <w:pPr>
        <w:pStyle w:val="Heading2"/>
      </w:pPr>
      <w:r w:rsidRPr="004F181E">
        <w:t>University College Dublin</w:t>
      </w:r>
    </w:p>
    <w:p w14:paraId="6F95E44A" w14:textId="77777777" w:rsidR="004F181E" w:rsidRDefault="004F181E" w:rsidP="00E40188">
      <w:pPr>
        <w:spacing w:after="120" w:line="276" w:lineRule="auto"/>
      </w:pPr>
    </w:p>
    <w:p w14:paraId="6463E8AF" w14:textId="77777777" w:rsidR="000D3DA1" w:rsidRPr="00B81D0D" w:rsidRDefault="000D3DA1" w:rsidP="000D3DA1">
      <w:pPr>
        <w:spacing w:after="120" w:line="276" w:lineRule="auto"/>
      </w:pPr>
      <w:r>
        <w:t>5</w:t>
      </w:r>
      <w:r w:rsidRPr="00B81D0D">
        <w:t xml:space="preserve"> awards</w:t>
      </w:r>
      <w:r>
        <w:t>,</w:t>
      </w:r>
      <w:r w:rsidRPr="00B81D0D">
        <w:t xml:space="preserve"> total value</w:t>
      </w:r>
      <w:r>
        <w:t>: €2,154,914</w:t>
      </w:r>
    </w:p>
    <w:p w14:paraId="67E280E0" w14:textId="77777777" w:rsidR="00B81D0D" w:rsidRPr="004F181E" w:rsidRDefault="00B81D0D" w:rsidP="004F181E"/>
    <w:p w14:paraId="77770283" w14:textId="77777777" w:rsidR="00E40188" w:rsidRPr="004F181E" w:rsidRDefault="004F181E" w:rsidP="004F181E">
      <w:pPr>
        <w:pStyle w:val="Heading3"/>
      </w:pPr>
      <w:r>
        <w:t xml:space="preserve">21. </w:t>
      </w:r>
      <w:r w:rsidR="00E40188" w:rsidRPr="004F181E">
        <w:t>Dr Rory Johnson, University College Dublin  Patient-Oriented Research</w:t>
      </w:r>
    </w:p>
    <w:p w14:paraId="2BA8666F" w14:textId="77777777" w:rsidR="00EC5C6F" w:rsidRPr="004F181E" w:rsidRDefault="00EC5C6F" w:rsidP="004F181E">
      <w:r w:rsidRPr="004F181E">
        <w:t>Lead Applicant: Dr Rory Johnson</w:t>
      </w:r>
      <w:r w:rsidRPr="004F181E">
        <w:tab/>
      </w:r>
    </w:p>
    <w:p w14:paraId="766E7A20" w14:textId="77777777" w:rsidR="00EC5C6F" w:rsidRPr="004F181E" w:rsidRDefault="00EC5C6F" w:rsidP="004F181E">
      <w:r w:rsidRPr="004F181E">
        <w:t>Project: Precision RNA therapeutics for lung adenocarcinoma</w:t>
      </w:r>
    </w:p>
    <w:p w14:paraId="07501A9C" w14:textId="77777777" w:rsidR="00EC5C6F" w:rsidRPr="004F181E" w:rsidRDefault="00EC5C6F" w:rsidP="004F181E">
      <w:pPr>
        <w:rPr>
          <w:rFonts w:cs="Calibri"/>
          <w:lang w:val="en-US"/>
        </w:rPr>
      </w:pPr>
      <w:r w:rsidRPr="004F181E">
        <w:t xml:space="preserve">Award Amount: </w:t>
      </w:r>
      <w:r w:rsidRPr="004F181E">
        <w:rPr>
          <w:rFonts w:cs="Calibri"/>
          <w:lang w:val="en-US"/>
        </w:rPr>
        <w:t>€</w:t>
      </w:r>
      <w:r w:rsidR="000D3DA1" w:rsidRPr="00C869BC">
        <w:rPr>
          <w:rFonts w:cs="Calibri"/>
          <w:lang w:val="en-US"/>
        </w:rPr>
        <w:t>428,787</w:t>
      </w:r>
    </w:p>
    <w:p w14:paraId="27198540" w14:textId="77777777" w:rsidR="004F181E" w:rsidRDefault="004F181E" w:rsidP="00EC5C6F">
      <w:pPr>
        <w:pStyle w:val="HRBGeneralText"/>
      </w:pPr>
      <w:r>
        <w:t>Lay summary</w:t>
      </w:r>
    </w:p>
    <w:p w14:paraId="1919B308" w14:textId="77777777" w:rsidR="00EC5C6F" w:rsidRDefault="00EC5C6F" w:rsidP="00EC5C6F">
      <w:pPr>
        <w:pStyle w:val="HRBGeneralText"/>
      </w:pPr>
      <w:r>
        <w:t xml:space="preserve">Lung adenocarcinoma (LUAD) is the greatest cancer killer in Ireland and worldwide. Prognosis remains poor, due to limited treatment options, drug resistance, and side effects. </w:t>
      </w:r>
    </w:p>
    <w:p w14:paraId="09F5F807" w14:textId="77777777" w:rsidR="00EC5C6F" w:rsidRDefault="00EC5C6F" w:rsidP="00EC5C6F">
      <w:pPr>
        <w:pStyle w:val="HRBGeneralText"/>
      </w:pPr>
      <w:r>
        <w:t>Addressing the needs of patients, their families and carers for improved therapies is the aim of this Project. To do so, we propose a solution in the powerful new technology of RNA therapeutics (</w:t>
      </w:r>
      <w:proofErr w:type="spellStart"/>
      <w:r>
        <w:t>RNATx</w:t>
      </w:r>
      <w:proofErr w:type="spellEnd"/>
      <w:r>
        <w:t xml:space="preserve">). </w:t>
      </w:r>
      <w:proofErr w:type="spellStart"/>
      <w:r>
        <w:t>RNATx</w:t>
      </w:r>
      <w:proofErr w:type="spellEnd"/>
      <w:r>
        <w:t xml:space="preserve"> is proven to deliver programmable, safe and effective control of disease gene expression in vivo, opening up </w:t>
      </w:r>
      <w:proofErr w:type="gramStart"/>
      <w:r>
        <w:t>an</w:t>
      </w:r>
      <w:proofErr w:type="gramEnd"/>
      <w:r>
        <w:t xml:space="preserve"> wide panorama of therapeutic targets and benefitting from a validated and streamlined pathway to the clinic. The promise of </w:t>
      </w:r>
      <w:proofErr w:type="spellStart"/>
      <w:r>
        <w:t>RNATx</w:t>
      </w:r>
      <w:proofErr w:type="spellEnd"/>
      <w:r>
        <w:t xml:space="preserve"> was recognised in 2023 with the Nobel Prize in Medicine. </w:t>
      </w:r>
    </w:p>
    <w:p w14:paraId="3C38C7E9" w14:textId="77777777" w:rsidR="00EC5C6F" w:rsidRDefault="00EC5C6F" w:rsidP="00EC5C6F">
      <w:pPr>
        <w:pStyle w:val="HRBGeneralText"/>
      </w:pPr>
      <w:r>
        <w:t xml:space="preserve">Given its novelty, </w:t>
      </w:r>
      <w:proofErr w:type="spellStart"/>
      <w:r>
        <w:t>RNATx</w:t>
      </w:r>
      <w:proofErr w:type="spellEnd"/>
      <w:r>
        <w:t xml:space="preserve"> requires new targets. This Project takes advantage of newly discovered therapeutic targets from the Applicant Group. These targets come from the promising class of oncogenes, the long noncoding RNAs (</w:t>
      </w:r>
      <w:proofErr w:type="spellStart"/>
      <w:r>
        <w:t>lncRNAs</w:t>
      </w:r>
      <w:proofErr w:type="spellEnd"/>
      <w:r>
        <w:t xml:space="preserve">), offering potent and personalised disease-modifying activity with reduced off-target toxicity. Inhibitory antisense oligonucleotide (ASO) drugs will be designed and validated against these targets. These ASOs will be aggressively filtered through a carefully-designed pipeline, comprising patient-derived disease models (efficacy), non-disease models (toxicity), and synergism with existing drugs (therapy resistance). Target validation will be guided by patient samples and data, and employs state-of-the-art models. </w:t>
      </w:r>
    </w:p>
    <w:p w14:paraId="695A054B" w14:textId="77777777" w:rsidR="00EC5C6F" w:rsidRPr="00F264C4" w:rsidRDefault="00EC5C6F" w:rsidP="00EC5C6F">
      <w:pPr>
        <w:pStyle w:val="HRBGeneralText"/>
      </w:pPr>
      <w:r>
        <w:t xml:space="preserve">This will be achieved by a newly assembled, international collaborator team uniting world-leading expertise in </w:t>
      </w:r>
      <w:proofErr w:type="spellStart"/>
      <w:r>
        <w:t>RNATx</w:t>
      </w:r>
      <w:proofErr w:type="spellEnd"/>
      <w:r>
        <w:t xml:space="preserve">, patient models and in vivo models. The relevance of our work will be monitored by a PPI Committee. The outcome will be thoroughly characterised anti-cancer </w:t>
      </w:r>
      <w:proofErr w:type="spellStart"/>
      <w:r>
        <w:t>RNATx</w:t>
      </w:r>
      <w:proofErr w:type="spellEnd"/>
      <w:r>
        <w:t xml:space="preserve"> molecules, ready for commercial investment and clinical development. Thus, this Project is carefully focussed to maximise benefit for LUAD patients by opening a new therapeutic front in oncology and propelling promising new therapies towards the clinic.</w:t>
      </w:r>
    </w:p>
    <w:p w14:paraId="3D89EB4F" w14:textId="77777777" w:rsidR="00EC5C6F" w:rsidRDefault="00EC5C6F" w:rsidP="00EC5C6F">
      <w:pPr>
        <w:pStyle w:val="HRBGeneralText"/>
      </w:pPr>
    </w:p>
    <w:p w14:paraId="6F15001A" w14:textId="77777777" w:rsidR="00EC5C6F" w:rsidRPr="004F181E" w:rsidRDefault="004F181E" w:rsidP="004F181E">
      <w:pPr>
        <w:pStyle w:val="Heading3"/>
      </w:pPr>
      <w:r>
        <w:t>2</w:t>
      </w:r>
      <w:r w:rsidR="005858F6">
        <w:t>2</w:t>
      </w:r>
      <w:r>
        <w:t xml:space="preserve">. </w:t>
      </w:r>
      <w:r w:rsidR="00EC5C6F" w:rsidRPr="004F181E">
        <w:t>Lead Applicant: Dr Gary Brennan</w:t>
      </w:r>
      <w:r w:rsidR="00EC5C6F" w:rsidRPr="004F181E">
        <w:tab/>
      </w:r>
    </w:p>
    <w:p w14:paraId="13B1CD73" w14:textId="77777777" w:rsidR="00EC5C6F" w:rsidRPr="004F181E" w:rsidRDefault="00EC5C6F" w:rsidP="004F181E">
      <w:r w:rsidRPr="004F181E">
        <w:t>Project: Targeting m6A regulating enzymes to control aberrant gene networks in epilepsy</w:t>
      </w:r>
    </w:p>
    <w:p w14:paraId="27236CC0" w14:textId="77777777" w:rsidR="00EC5C6F" w:rsidRPr="004F181E" w:rsidRDefault="00EC5C6F" w:rsidP="004F181E">
      <w:r w:rsidRPr="004F181E">
        <w:t>Patient-Oriented Research</w:t>
      </w:r>
    </w:p>
    <w:p w14:paraId="150FCF87" w14:textId="77777777" w:rsidR="00EC5C6F" w:rsidRDefault="00EC5C6F" w:rsidP="004F181E">
      <w:r w:rsidRPr="004F181E">
        <w:t>Award Amount: €</w:t>
      </w:r>
      <w:r w:rsidR="000D3DA1" w:rsidRPr="00E30994">
        <w:t>428,373</w:t>
      </w:r>
    </w:p>
    <w:p w14:paraId="1A99365A" w14:textId="77777777" w:rsidR="004F181E" w:rsidRPr="004F181E" w:rsidRDefault="004F181E" w:rsidP="004F181E">
      <w:r>
        <w:t>Lay summary</w:t>
      </w:r>
    </w:p>
    <w:p w14:paraId="02C6D90A" w14:textId="77777777" w:rsidR="00EC5C6F" w:rsidRPr="00462F5E" w:rsidRDefault="00EC5C6F" w:rsidP="00EC5C6F">
      <w:pPr>
        <w:spacing w:after="0" w:line="240" w:lineRule="auto"/>
        <w:rPr>
          <w:rFonts w:eastAsia="Times New Roman" w:cs="Calibri"/>
          <w:color w:val="000000"/>
          <w:lang w:eastAsia="en-IE"/>
        </w:rPr>
      </w:pPr>
      <w:r w:rsidRPr="00462F5E">
        <w:rPr>
          <w:rFonts w:eastAsia="Times New Roman" w:cs="Calibri"/>
          <w:color w:val="000000"/>
          <w:lang w:eastAsia="en-IE"/>
        </w:rPr>
        <w:lastRenderedPageBreak/>
        <w:t>Epilepsy is a chronic, devastating illness characterised by spontaneous recurrent seizures and often accompanied by debilitating cognitive impairment. Epilepsy can be described as a network disorder and changes in the properties which compose these networks constitutes a critical mechanism of disease development. Temporal lobe epilepsy (TLE) is the most common form of epilepsy in adults and is usually precipitated by brain insults such as traumatic brain injury, stroke or status epilepticus. These brain insults trigger large scale changes in gene expression and gene expression regulation which then give rise to the altered cellular properties which culminate in seizure activity. Up to one third of individuals with TLE are drug resistant.</w:t>
      </w:r>
      <w:r w:rsidRPr="00462F5E">
        <w:rPr>
          <w:rFonts w:eastAsia="Times New Roman" w:cs="Calibri"/>
          <w:color w:val="000000"/>
          <w:lang w:eastAsia="en-IE"/>
        </w:rPr>
        <w:br/>
        <w:t>Large scale changes in gene expression and regulation is seen at the epigenetic, transcriptional and posttranscriptional levels. We recently discovered that changes in RNA methylation (an important post-transcriptional mechanism of gene regulation) are prominent in human TLE and may represent an additional, and yet, unexplored layer of gene regulation which may be involved in the disease.</w:t>
      </w:r>
      <w:r w:rsidRPr="00462F5E">
        <w:rPr>
          <w:rFonts w:eastAsia="Times New Roman" w:cs="Calibri"/>
          <w:color w:val="000000"/>
          <w:lang w:eastAsia="en-IE"/>
        </w:rPr>
        <w:br/>
      </w:r>
      <w:r w:rsidRPr="00462F5E">
        <w:rPr>
          <w:rFonts w:eastAsia="Times New Roman" w:cs="Calibri"/>
          <w:color w:val="000000"/>
          <w:lang w:eastAsia="en-IE"/>
        </w:rPr>
        <w:br/>
        <w:t>We have found that hypomethylation of RNA in human temporal lobe epilepsy promotes the translation of epilepsy-related transcripts which may drive the pathogenesis of the disease. Additionally blocking the deposition of m6A by inhibiting METTL3 exacerbates epilepsy development in mice. Thus we now propose that blocking hypomethylation of mRNAs by inhibiting the main demethylase enzyme, FTO, may prevent epilepsy development by halting the translation of epilepsy-associated proteins. To do this we use a combination of pre-clinical and human epilepsy models combined with large scale sequencing to elucidate the precise effect of m6A on translational dynamics in epilepsy.</w:t>
      </w:r>
      <w:r w:rsidRPr="00462F5E">
        <w:rPr>
          <w:rFonts w:eastAsia="Times New Roman" w:cs="Calibri"/>
          <w:color w:val="000000"/>
          <w:lang w:eastAsia="en-IE"/>
        </w:rPr>
        <w:br/>
      </w:r>
      <w:r w:rsidRPr="00462F5E">
        <w:rPr>
          <w:rFonts w:eastAsia="Times New Roman" w:cs="Calibri"/>
          <w:color w:val="000000"/>
          <w:lang w:eastAsia="en-IE"/>
        </w:rPr>
        <w:br/>
        <w:t xml:space="preserve">It is thought that this project will </w:t>
      </w:r>
      <w:proofErr w:type="spellStart"/>
      <w:r w:rsidRPr="00462F5E">
        <w:rPr>
          <w:rFonts w:eastAsia="Times New Roman" w:cs="Calibri"/>
          <w:color w:val="000000"/>
          <w:lang w:eastAsia="en-IE"/>
        </w:rPr>
        <w:t>i</w:t>
      </w:r>
      <w:proofErr w:type="spellEnd"/>
      <w:r w:rsidRPr="00462F5E">
        <w:rPr>
          <w:rFonts w:eastAsia="Times New Roman" w:cs="Calibri"/>
          <w:color w:val="000000"/>
          <w:lang w:eastAsia="en-IE"/>
        </w:rPr>
        <w:t xml:space="preserve">) illuminate novel mechanisms of </w:t>
      </w:r>
      <w:proofErr w:type="spellStart"/>
      <w:r w:rsidRPr="00462F5E">
        <w:rPr>
          <w:rFonts w:eastAsia="Times New Roman" w:cs="Calibri"/>
          <w:color w:val="000000"/>
          <w:lang w:eastAsia="en-IE"/>
        </w:rPr>
        <w:t>epileptogenesis</w:t>
      </w:r>
      <w:proofErr w:type="spellEnd"/>
      <w:r w:rsidRPr="00462F5E">
        <w:rPr>
          <w:rFonts w:eastAsia="Times New Roman" w:cs="Calibri"/>
          <w:color w:val="000000"/>
          <w:lang w:eastAsia="en-IE"/>
        </w:rPr>
        <w:t>. ii) assess the therapeutic validity of targeting aberrant gene networks to prevent or treat epilepsy.</w:t>
      </w:r>
    </w:p>
    <w:p w14:paraId="21810CE8" w14:textId="77777777" w:rsidR="00EC5C6F" w:rsidRDefault="00EC5C6F" w:rsidP="00E40188">
      <w:pPr>
        <w:spacing w:after="120" w:line="276" w:lineRule="auto"/>
      </w:pPr>
    </w:p>
    <w:p w14:paraId="6ED8E391" w14:textId="77777777" w:rsidR="00E40188" w:rsidRDefault="00E40188" w:rsidP="00E40188">
      <w:pPr>
        <w:spacing w:after="120" w:line="276" w:lineRule="auto"/>
      </w:pPr>
    </w:p>
    <w:p w14:paraId="119F26DE" w14:textId="77777777" w:rsidR="00EC5C6F" w:rsidRPr="0031762F" w:rsidRDefault="004F181E" w:rsidP="004F181E">
      <w:pPr>
        <w:pStyle w:val="Heading3"/>
      </w:pPr>
      <w:r>
        <w:t>2</w:t>
      </w:r>
      <w:r w:rsidR="005858F6">
        <w:t>3</w:t>
      </w:r>
      <w:r>
        <w:t xml:space="preserve">. </w:t>
      </w:r>
      <w:r w:rsidR="00EC5C6F" w:rsidRPr="0031762F">
        <w:t>Lead Applicant: Dr Radka Fahey (</w:t>
      </w:r>
      <w:proofErr w:type="spellStart"/>
      <w:r w:rsidR="00EC5C6F" w:rsidRPr="0031762F">
        <w:t>Saldova</w:t>
      </w:r>
      <w:proofErr w:type="spellEnd"/>
      <w:r w:rsidR="00EC5C6F" w:rsidRPr="0031762F">
        <w:t>)</w:t>
      </w:r>
      <w:r w:rsidR="00EC5C6F" w:rsidRPr="0031762F">
        <w:tab/>
      </w:r>
    </w:p>
    <w:p w14:paraId="21A2C96C" w14:textId="77777777" w:rsidR="00EC5C6F" w:rsidRDefault="00EC5C6F" w:rsidP="004F181E">
      <w:r w:rsidRPr="0031762F">
        <w:t>Project: The role of protein glycosylation in the pathogenesis of endometriosis and association with microbiome</w:t>
      </w:r>
    </w:p>
    <w:p w14:paraId="7D16059A" w14:textId="77777777" w:rsidR="00EC5C6F" w:rsidRPr="0031762F" w:rsidRDefault="00EC5C6F" w:rsidP="004F181E">
      <w:r w:rsidRPr="00BF0C41">
        <w:t>Patient-Oriented Research</w:t>
      </w:r>
    </w:p>
    <w:p w14:paraId="50E1EF30" w14:textId="77777777" w:rsidR="00EC5C6F" w:rsidRDefault="00EC5C6F" w:rsidP="004F181E">
      <w:r w:rsidRPr="0031762F">
        <w:t>Award Amount: €</w:t>
      </w:r>
      <w:r w:rsidR="000D3DA1" w:rsidRPr="00E30994">
        <w:t>428,763</w:t>
      </w:r>
    </w:p>
    <w:p w14:paraId="06A1E33A" w14:textId="77777777" w:rsidR="004F181E" w:rsidRPr="0031762F" w:rsidRDefault="004F181E" w:rsidP="004F181E">
      <w:r>
        <w:t>Lay summary</w:t>
      </w:r>
    </w:p>
    <w:p w14:paraId="0B96D2EF" w14:textId="77777777" w:rsidR="00EC5C6F" w:rsidRPr="00462F5E" w:rsidRDefault="00EC5C6F" w:rsidP="00EC5C6F">
      <w:pPr>
        <w:pStyle w:val="HRBGeneralText"/>
      </w:pPr>
      <w:r w:rsidRPr="00462F5E">
        <w:t xml:space="preserve">Endometriosis is a chronic inflammatory disease that affects 10% of all women of reproductive age. It is characterized by the ectopic growth of endometrial tissue outside the uterus and is a major cause of pelvic pain and disability. Endometriosis also has an adverse effect on fertility, with almost one third of patients failing to conceive. The aetiology of endometriosis is unknown; a definitive diagnosis of endometriosis requires invasive laparoscopic surgery, and treatment options are limited in number and efficacy. The aim of this project is to characterise the glycans that are expressed in blood and uterine tissue and fluids in patients with endometriosis and to investigate the role of these glycans in mediating dysbiosis. We will adopt an integrated, systems biology approach to finely characterize how circulating and local uterine glycans from glycoproteins and the uterine microbial ecosystem are altered in endometriosis. We will investigate how altered glycans affect pathogenic bacteria binding to the endometrial cells, focusing on microbes specific for this disease. Using our combined multidisciplinary expertise in </w:t>
      </w:r>
      <w:proofErr w:type="spellStart"/>
      <w:r w:rsidRPr="00462F5E">
        <w:t>glycomics</w:t>
      </w:r>
      <w:proofErr w:type="spellEnd"/>
      <w:r w:rsidRPr="00462F5E">
        <w:t xml:space="preserve">, microbiology and gynaecology, we will use findings from this study to define changes in glycosylation associated with endometriosis that may </w:t>
      </w:r>
      <w:r w:rsidRPr="00462F5E">
        <w:lastRenderedPageBreak/>
        <w:t>be used as non-invasive biomarkers for this disease and also how these changes might affect microbiome which may provide insight into disease pathogenesis. More effective diagnosis and treatment of endometriosis has the potential to significantly reduce the healthcare cost burden associated with current strategies and may increase success rates of pregnancy and live births in these patients.</w:t>
      </w:r>
    </w:p>
    <w:p w14:paraId="3426CA68" w14:textId="77777777" w:rsidR="008D7980" w:rsidRDefault="008D7980" w:rsidP="00E40188">
      <w:pPr>
        <w:spacing w:before="120" w:after="120" w:line="276" w:lineRule="auto"/>
      </w:pPr>
    </w:p>
    <w:p w14:paraId="4F2FB85E" w14:textId="77777777" w:rsidR="00EC5C6F" w:rsidRPr="0031762F" w:rsidRDefault="004F181E" w:rsidP="004F181E">
      <w:pPr>
        <w:pStyle w:val="Heading3"/>
      </w:pPr>
      <w:r>
        <w:t>2</w:t>
      </w:r>
      <w:r w:rsidR="005858F6">
        <w:t>4</w:t>
      </w:r>
      <w:r>
        <w:t xml:space="preserve">. </w:t>
      </w:r>
      <w:r w:rsidR="00EC5C6F" w:rsidRPr="0031762F">
        <w:t>Lead Applicant: Professor Alistair Nichol</w:t>
      </w:r>
      <w:r w:rsidR="00EC5C6F" w:rsidRPr="0031762F">
        <w:tab/>
      </w:r>
    </w:p>
    <w:p w14:paraId="74C0DE03" w14:textId="77777777" w:rsidR="00EC5C6F" w:rsidRDefault="00EC5C6F" w:rsidP="004F181E">
      <w:r w:rsidRPr="0031762F">
        <w:t>Project: PRECISION-ABI: Developing a precision medicine approach to improve acquired brain injury patient outcomes</w:t>
      </w:r>
    </w:p>
    <w:p w14:paraId="26122090" w14:textId="77777777" w:rsidR="00EC5C6F" w:rsidRPr="0031762F" w:rsidRDefault="00EC5C6F" w:rsidP="004F181E">
      <w:r w:rsidRPr="00BF0C41">
        <w:t>Patient-Oriented Research</w:t>
      </w:r>
    </w:p>
    <w:p w14:paraId="2077F760" w14:textId="77777777" w:rsidR="00EC5C6F" w:rsidRPr="0031762F" w:rsidRDefault="00EC5C6F" w:rsidP="004F181E">
      <w:pPr>
        <w:rPr>
          <w:rFonts w:eastAsia="Times New Roman" w:cs="Calibri"/>
          <w:color w:val="000000"/>
          <w:lang w:eastAsia="en-IE"/>
        </w:rPr>
      </w:pPr>
      <w:r w:rsidRPr="0031762F">
        <w:rPr>
          <w:rFonts w:eastAsia="Times New Roman" w:cs="Calibri"/>
          <w:color w:val="000000"/>
          <w:lang w:eastAsia="en-IE"/>
        </w:rPr>
        <w:t xml:space="preserve">Award Amount: </w:t>
      </w:r>
      <w:r w:rsidRPr="0031762F">
        <w:rPr>
          <w:rFonts w:cs="Calibri"/>
          <w:lang w:val="en-US"/>
        </w:rPr>
        <w:t>€</w:t>
      </w:r>
      <w:r w:rsidR="000D3DA1" w:rsidRPr="00147ADC">
        <w:rPr>
          <w:rFonts w:cs="Calibri"/>
          <w:lang w:val="en-US"/>
        </w:rPr>
        <w:t>428,996</w:t>
      </w:r>
    </w:p>
    <w:p w14:paraId="3559E728" w14:textId="77777777" w:rsidR="00EC5C6F" w:rsidRDefault="004F181E" w:rsidP="00EC5C6F">
      <w:pPr>
        <w:spacing w:after="0" w:line="240" w:lineRule="auto"/>
        <w:rPr>
          <w:rFonts w:eastAsia="Times New Roman" w:cs="Calibri"/>
          <w:color w:val="000000"/>
          <w:lang w:eastAsia="en-IE"/>
        </w:rPr>
      </w:pPr>
      <w:r>
        <w:rPr>
          <w:rFonts w:eastAsia="Times New Roman" w:cs="Calibri"/>
          <w:color w:val="000000"/>
          <w:lang w:eastAsia="en-IE"/>
        </w:rPr>
        <w:t>Lay summary</w:t>
      </w:r>
    </w:p>
    <w:p w14:paraId="5505B5BB" w14:textId="77777777" w:rsidR="004F181E" w:rsidRPr="00462F5E" w:rsidRDefault="004F181E" w:rsidP="00EC5C6F">
      <w:pPr>
        <w:spacing w:after="0" w:line="240" w:lineRule="auto"/>
        <w:rPr>
          <w:rFonts w:eastAsia="Times New Roman" w:cs="Calibri"/>
          <w:color w:val="000000"/>
          <w:lang w:eastAsia="en-IE"/>
        </w:rPr>
      </w:pPr>
    </w:p>
    <w:p w14:paraId="5719BCB8" w14:textId="6ACA313B" w:rsidR="00EC5C6F" w:rsidRPr="00462F5E" w:rsidRDefault="00EC5C6F" w:rsidP="00EC5C6F">
      <w:pPr>
        <w:spacing w:after="0" w:line="240" w:lineRule="auto"/>
        <w:rPr>
          <w:rFonts w:eastAsia="Times New Roman" w:cs="Calibri"/>
          <w:color w:val="000000"/>
          <w:lang w:eastAsia="en-IE"/>
        </w:rPr>
      </w:pPr>
      <w:r w:rsidRPr="00462F5E">
        <w:rPr>
          <w:rFonts w:eastAsia="Times New Roman" w:cs="Calibri"/>
          <w:color w:val="000000"/>
          <w:lang w:eastAsia="en-IE"/>
        </w:rPr>
        <w:t>Acquired brain injuries (ABI), which occur after birth, are often due an out-of-hospital cardiac arrest (OHCA) where blood and oxygen supply to the brain are reduced leading to injury. In 2020, the emergency services in Ireland treated 2,906 OHCAs, and only 6.1% of these individuals were discharged alive (HSE Out-of-hospital Cardiac arrest register report 2021). Of those who are successfully resuscitated, 80% will have an ABI. Reducing death and disability, the economic costs and long-term societal effects are key drivers for this application.</w:t>
      </w:r>
      <w:r w:rsidRPr="00462F5E">
        <w:rPr>
          <w:rFonts w:eastAsia="Times New Roman" w:cs="Calibri"/>
          <w:color w:val="000000"/>
          <w:lang w:eastAsia="en-IE"/>
        </w:rPr>
        <w:br/>
      </w:r>
      <w:r w:rsidRPr="00462F5E">
        <w:rPr>
          <w:rFonts w:eastAsia="Times New Roman" w:cs="Calibri"/>
          <w:color w:val="000000"/>
          <w:lang w:eastAsia="en-IE"/>
        </w:rPr>
        <w:br/>
        <w:t>The Irish Critical Care-Clinical Trials Network’s (ICC-CTN) ABI Research Programme, led by Prof Alistair Nichol, began over ten years ago investigating treatments for those who have suffered an OHCA. Since then, the ICC-CTN have delivered some of the largest randomised OHCA (and other relevant ABI) trials ever conducted with 2 further ongoing, to determine effective treatments safely using the highest trial design standards and delivering definitive evidence. Some of these trials (TAME, TTM2) have collected many biological samples from OHCA patients (&gt;900). Initial analyses of these samples indicate that we may be able to identify which patients will have the poorest outcomes (prognostic factors), while identifying new treatments for enhanced patient care.</w:t>
      </w:r>
      <w:r w:rsidRPr="00462F5E">
        <w:rPr>
          <w:rFonts w:eastAsia="Times New Roman" w:cs="Calibri"/>
          <w:color w:val="000000"/>
          <w:lang w:eastAsia="en-IE"/>
        </w:rPr>
        <w:br/>
      </w:r>
      <w:r w:rsidRPr="00462F5E">
        <w:rPr>
          <w:rFonts w:eastAsia="Times New Roman" w:cs="Calibri"/>
          <w:color w:val="000000"/>
          <w:lang w:eastAsia="en-IE"/>
        </w:rPr>
        <w:br/>
        <w:t>Through our PRECISION-ABI project, we aim to facilitate the harmonised collection of biological samples across our STEPCARE trial (OHCA), and conduct in-depth sample analyses for prognostic and disease factors. We will also investigate, for the first time, whether patient sub-groups exist in OHCA (</w:t>
      </w:r>
      <w:r w:rsidR="009778BB" w:rsidRPr="00462F5E">
        <w:rPr>
          <w:rFonts w:eastAsia="Times New Roman" w:cs="Calibri"/>
          <w:color w:val="000000"/>
          <w:lang w:eastAsia="en-IE"/>
        </w:rPr>
        <w:t>e.g.</w:t>
      </w:r>
      <w:r w:rsidRPr="00462F5E">
        <w:rPr>
          <w:rFonts w:eastAsia="Times New Roman" w:cs="Calibri"/>
          <w:color w:val="000000"/>
          <w:lang w:eastAsia="en-IE"/>
        </w:rPr>
        <w:t xml:space="preserve"> Hyper- and Hypo-inflammatory) and whether these different patient sub-groups may respond better, worse or not at all to specific treatments. We will incorporate the public and patient voice throughout while engaging with clinicians/researchers to determine the optimal research approach for OHCA. This will achieve our overall aim of advancing precision medicine approaches for OHCA patients and improving clinical outcomes.</w:t>
      </w:r>
    </w:p>
    <w:p w14:paraId="1169CD5E" w14:textId="77777777" w:rsidR="00EC5C6F" w:rsidRDefault="00EC5C6F" w:rsidP="00E40188">
      <w:pPr>
        <w:spacing w:before="120" w:after="120" w:line="276" w:lineRule="auto"/>
      </w:pPr>
    </w:p>
    <w:p w14:paraId="22F83F8E" w14:textId="77777777" w:rsidR="00E40188" w:rsidRDefault="00E40188" w:rsidP="00740D0D">
      <w:pPr>
        <w:spacing w:before="120" w:after="120" w:line="276" w:lineRule="auto"/>
      </w:pPr>
    </w:p>
    <w:p w14:paraId="28AAEB1A" w14:textId="77777777" w:rsidR="001E5D58" w:rsidRPr="004E7060" w:rsidRDefault="004F181E" w:rsidP="004F181E">
      <w:pPr>
        <w:pStyle w:val="Heading3"/>
      </w:pPr>
      <w:r>
        <w:t>2</w:t>
      </w:r>
      <w:r w:rsidR="005858F6">
        <w:t>5</w:t>
      </w:r>
      <w:r>
        <w:t xml:space="preserve">. </w:t>
      </w:r>
      <w:r w:rsidR="001E5D58" w:rsidRPr="004E7060">
        <w:t xml:space="preserve">Lead Applicant: Dr </w:t>
      </w:r>
      <w:proofErr w:type="spellStart"/>
      <w:r w:rsidR="001E5D58" w:rsidRPr="004E7060">
        <w:t>Cailbhe</w:t>
      </w:r>
      <w:proofErr w:type="spellEnd"/>
      <w:r w:rsidR="001E5D58" w:rsidRPr="004E7060">
        <w:t xml:space="preserve"> Doherty</w:t>
      </w:r>
      <w:r w:rsidR="001E5D58" w:rsidRPr="004E7060">
        <w:tab/>
      </w:r>
    </w:p>
    <w:p w14:paraId="400A06FB" w14:textId="77777777" w:rsidR="001E5D58" w:rsidRDefault="001E5D58" w:rsidP="004F181E">
      <w:r w:rsidRPr="004E7060">
        <w:t>Project: TERRA (Tracking and Evaluating Real-world Rhythms and Analytics)</w:t>
      </w:r>
    </w:p>
    <w:p w14:paraId="5BBAB069" w14:textId="77777777" w:rsidR="001E5D58" w:rsidRPr="004E7060" w:rsidRDefault="001E5D58" w:rsidP="004F181E">
      <w:r w:rsidRPr="00FE1267">
        <w:t>P</w:t>
      </w:r>
      <w:r>
        <w:t xml:space="preserve">opulation </w:t>
      </w:r>
      <w:r w:rsidRPr="00FE1267">
        <w:t>H</w:t>
      </w:r>
      <w:r>
        <w:t xml:space="preserve">ealth </w:t>
      </w:r>
      <w:r w:rsidRPr="00FE1267">
        <w:t>R</w:t>
      </w:r>
      <w:r>
        <w:t>esearch</w:t>
      </w:r>
    </w:p>
    <w:p w14:paraId="240E9532" w14:textId="77777777" w:rsidR="001E5D58" w:rsidRDefault="001E5D58" w:rsidP="004F181E">
      <w:r w:rsidRPr="004E7060">
        <w:t>Award Amount: €</w:t>
      </w:r>
      <w:r w:rsidR="000D3DA1" w:rsidRPr="00147ADC">
        <w:t>439,994</w:t>
      </w:r>
    </w:p>
    <w:p w14:paraId="5E7E6BF7" w14:textId="77777777" w:rsidR="004F181E" w:rsidRPr="004E7060" w:rsidRDefault="004F181E" w:rsidP="004F181E">
      <w:r>
        <w:t>Lay summary</w:t>
      </w:r>
    </w:p>
    <w:p w14:paraId="3300C38A" w14:textId="77777777" w:rsidR="001E5D58" w:rsidRDefault="001E5D58" w:rsidP="001E5D58">
      <w:r>
        <w:lastRenderedPageBreak/>
        <w:t>TERRA (Tracking and Evaluating Real-world Rhythms and Analytics) is an innovative, exploratory, and investigator-led project aimed at addressing the urgent societal need posed by Ireland's expanding and ageing population. As the fastest ageing country in Europe, the ""silver tsunami"" threatens to overwhelm our health and social care systems. This challenge is further amplified by the demand-supply gap in the healthcare workforce, escalating health expenditure, and persistent healthcare delivery bottlenecks.</w:t>
      </w:r>
    </w:p>
    <w:p w14:paraId="3F5A52AF" w14:textId="77777777" w:rsidR="001E5D58" w:rsidRDefault="001E5D58" w:rsidP="001E5D58">
      <w:r>
        <w:t>TERRA will leverage the power of wearable technologies and the unprecedented ‘real-world’ health insights they offer to mitigate these issues. We will combine health biodata captured from commercial wearable devices to create a unique biometric 'fingerprint' for individuals. We will then monitor the short- and medium-term temporal characteristics of these biosignatures to explore their potential as unique health status indicators and predictors of health deterioration.</w:t>
      </w:r>
    </w:p>
    <w:p w14:paraId="0722DD58" w14:textId="77777777" w:rsidR="001E5D58" w:rsidRDefault="001E5D58" w:rsidP="001E5D58">
      <w:r>
        <w:t>The project will execute a multi-stage methodology. The initial phase will focus on recruiting and profiling a diverse sample of adults who already own wearable devices using biometric data such as resting heart rate, heart rate variability, respiratory rate, body temperature, physical activity and sleep. Subsequent phases will involve longitudinal monitoring and data collation, whereby sophisticated data analysis will be used to develop biosignature ‘classifiers’ for each individual. We will then develop a feedback system so that users can learn about their health and how to improve it; we will also develop a curriculum around wearable devices and biometric for university education.</w:t>
      </w:r>
    </w:p>
    <w:p w14:paraId="5F921D4F" w14:textId="77777777" w:rsidR="001E5D58" w:rsidRDefault="001E5D58" w:rsidP="001E5D58">
      <w:r>
        <w:t>The study's broader goals are twofold. Firstly, TERRA aims to develop a framework detailing how wearable derived biometric data can be used to help shift the healthcare paradigm from reactive to proactive, transitioning from a model of illness treatment to one of health preservation. Secondly, it seeks to contribute to the democratisation and personalisation of healthcare, empowering individuals with real-time, personalised health insights.</w:t>
      </w:r>
    </w:p>
    <w:p w14:paraId="037B3D37" w14:textId="77777777" w:rsidR="008D7980" w:rsidRDefault="008D7980">
      <w:pPr>
        <w:rPr>
          <w:b/>
          <w:bCs/>
        </w:rPr>
      </w:pPr>
    </w:p>
    <w:p w14:paraId="29E80E78" w14:textId="77777777" w:rsidR="00DF1379" w:rsidRDefault="00DF1379">
      <w:pPr>
        <w:rPr>
          <w:b/>
          <w:bCs/>
        </w:rPr>
      </w:pPr>
      <w:r>
        <w:rPr>
          <w:b/>
          <w:bCs/>
        </w:rPr>
        <w:br w:type="page"/>
      </w:r>
    </w:p>
    <w:p w14:paraId="467FE0DE" w14:textId="77777777" w:rsidR="007855AF" w:rsidRDefault="007855AF" w:rsidP="00EC79BA">
      <w:pPr>
        <w:spacing w:before="120" w:after="120" w:line="276" w:lineRule="auto"/>
        <w:rPr>
          <w:b/>
          <w:bCs/>
        </w:rPr>
      </w:pPr>
    </w:p>
    <w:p w14:paraId="32E2853B" w14:textId="77777777" w:rsidR="007855AF" w:rsidRPr="007855AF" w:rsidRDefault="007855AF" w:rsidP="004F181E">
      <w:pPr>
        <w:pStyle w:val="Heading2"/>
      </w:pPr>
      <w:r w:rsidRPr="007855AF">
        <w:t>University Of Galway</w:t>
      </w:r>
    </w:p>
    <w:p w14:paraId="371E0772" w14:textId="77777777" w:rsidR="004F181E" w:rsidRDefault="004F181E" w:rsidP="004F181E"/>
    <w:p w14:paraId="1610602E" w14:textId="77777777" w:rsidR="000D3DA1" w:rsidRDefault="000D3DA1" w:rsidP="000D3DA1">
      <w:r>
        <w:t>2 awards, total value: €820,425</w:t>
      </w:r>
    </w:p>
    <w:p w14:paraId="0D468E4B" w14:textId="77777777" w:rsidR="00C1719F" w:rsidRDefault="00C1719F" w:rsidP="001E5D58">
      <w:pPr>
        <w:rPr>
          <w:b/>
          <w:bCs/>
        </w:rPr>
      </w:pPr>
    </w:p>
    <w:p w14:paraId="66CD94F5" w14:textId="77777777" w:rsidR="001E5D58" w:rsidRDefault="004F181E" w:rsidP="004F181E">
      <w:pPr>
        <w:pStyle w:val="Heading3"/>
      </w:pPr>
      <w:r>
        <w:t>2</w:t>
      </w:r>
      <w:r w:rsidR="005858F6">
        <w:t>6</w:t>
      </w:r>
      <w:r>
        <w:t xml:space="preserve">. </w:t>
      </w:r>
      <w:r w:rsidR="001E5D58" w:rsidRPr="00156E23">
        <w:t>Lead Applicant: Dr Sinéad Lydon</w:t>
      </w:r>
      <w:r w:rsidR="001E5D58" w:rsidRPr="00156E23">
        <w:tab/>
      </w:r>
    </w:p>
    <w:p w14:paraId="77D8604E" w14:textId="77777777" w:rsidR="009237F3" w:rsidRDefault="009237F3" w:rsidP="004F181E">
      <w:r w:rsidRPr="009237F3">
        <w:t>Project: Patient Involvement in Patient Safety- The PIPS Study</w:t>
      </w:r>
    </w:p>
    <w:p w14:paraId="42F3805B" w14:textId="77777777" w:rsidR="00C1719F" w:rsidRDefault="00C1719F" w:rsidP="004F181E">
      <w:r>
        <w:t>Health Services Research</w:t>
      </w:r>
    </w:p>
    <w:p w14:paraId="128FEBD1" w14:textId="77777777" w:rsidR="001E5D58" w:rsidRDefault="001E5D58" w:rsidP="004F181E">
      <w:pPr>
        <w:rPr>
          <w:rFonts w:cs="Calibri"/>
          <w:color w:val="000000"/>
        </w:rPr>
      </w:pPr>
      <w:r w:rsidRPr="0026533C">
        <w:t xml:space="preserve">Award Amount: </w:t>
      </w:r>
      <w:r w:rsidRPr="0026533C">
        <w:rPr>
          <w:rFonts w:cs="Calibri"/>
          <w:color w:val="000000"/>
        </w:rPr>
        <w:t>€</w:t>
      </w:r>
      <w:r w:rsidR="000D3DA1" w:rsidRPr="00272AF1">
        <w:rPr>
          <w:rFonts w:cs="Calibri"/>
          <w:color w:val="000000"/>
        </w:rPr>
        <w:t>408,085</w:t>
      </w:r>
    </w:p>
    <w:p w14:paraId="365672B7" w14:textId="77777777" w:rsidR="004F181E" w:rsidRPr="0026533C" w:rsidRDefault="004F181E" w:rsidP="004F181E">
      <w:r>
        <w:rPr>
          <w:rFonts w:cs="Calibri"/>
          <w:color w:val="000000"/>
        </w:rPr>
        <w:t>Lay summary</w:t>
      </w:r>
    </w:p>
    <w:p w14:paraId="2D7B9C64" w14:textId="77777777" w:rsidR="001E5D58" w:rsidRDefault="001E5D58" w:rsidP="001E5D58">
      <w:pPr>
        <w:spacing w:before="120" w:after="120" w:line="276" w:lineRule="auto"/>
      </w:pPr>
      <w:r>
        <w:t>Approximately 12% of adult inpatients in Irish hospitals will experience an adverse event, with the vast majority (70%) preventable. Each adverse event costs approximately 5,550e. Although efforts to understand and improve patient safety have become increasingly commonplace, the patient ‘voice’ has largely been ignored. Current practices position the patient as passive, merely experiencing safety incidents and healthcare delivery, and fail to recognise the active role patients can play in ensuring safe care. Patients and families observe almost all healthcare interactions and can provide valuable insights. The Irish Health Service Executive’s Patient Safety Strategy includes “Empowering and Engaging Patients to Improve Patient Safety” as a key goal but is nonspecific on how this can be achieved. The strategy does not consider the barriers (e.g., concerns about reporting safety data negatively impacting care) and facilitators (e.g., training on how to provide safety data) to patient involvement in safety data collection, though addressing these is essential to establishing and maintaining successful patient involvement.</w:t>
      </w:r>
    </w:p>
    <w:p w14:paraId="7A2B6DDC" w14:textId="77777777" w:rsidR="001E5D58" w:rsidRDefault="001E5D58" w:rsidP="001E5D58">
      <w:pPr>
        <w:spacing w:before="120" w:after="120" w:line="276" w:lineRule="auto"/>
      </w:pPr>
      <w:r>
        <w:t xml:space="preserve">Accordingly, the aim of the proposed research is to utilise existing research, relevant theory, and stakeholder engagement to co-design an approach to involving patients in safety data collection in adult inpatient hospital care. The project will comprise: 1) a systematic review to identify existing methods of involving patients in safety data collection; 2) exploration of experiences of implementing approaches to involving patients in safety data collection to generate transferable learning; 3) assessment of barriers and facilitators to involving patients in safety data collection; 4) co-design of an approach to involving patients in safety data collection with stakeholders, </w:t>
      </w:r>
      <w:proofErr w:type="gramStart"/>
      <w:r>
        <w:t>and;</w:t>
      </w:r>
      <w:proofErr w:type="gramEnd"/>
      <w:r>
        <w:t xml:space="preserve"> 5) dissemination of findings. The proposed research will provide evidence-based guidance for policy makers, health service managers, and health service providers on ‘how’ patients can best be involved in safety data collection to support improved patient safety.</w:t>
      </w:r>
    </w:p>
    <w:p w14:paraId="6F228056" w14:textId="77777777" w:rsidR="008D7980" w:rsidRDefault="008D7980" w:rsidP="001827BC">
      <w:pPr>
        <w:spacing w:before="120" w:after="120" w:line="276" w:lineRule="auto"/>
      </w:pPr>
    </w:p>
    <w:p w14:paraId="19A26758" w14:textId="77777777" w:rsidR="008D7980" w:rsidRDefault="008D7980" w:rsidP="001827BC">
      <w:pPr>
        <w:spacing w:before="120" w:after="120" w:line="276" w:lineRule="auto"/>
      </w:pPr>
    </w:p>
    <w:p w14:paraId="06635771" w14:textId="77777777" w:rsidR="00C1719F" w:rsidRPr="004F181E" w:rsidRDefault="004F181E" w:rsidP="004F181E">
      <w:pPr>
        <w:pStyle w:val="Heading3"/>
      </w:pPr>
      <w:r>
        <w:t>2</w:t>
      </w:r>
      <w:r w:rsidR="005858F6">
        <w:t>7</w:t>
      </w:r>
      <w:r>
        <w:t xml:space="preserve">. </w:t>
      </w:r>
      <w:r w:rsidR="00C1719F" w:rsidRPr="004F181E">
        <w:t>Lead applicant Professor Andrew Smyth</w:t>
      </w:r>
      <w:r w:rsidR="00C1719F" w:rsidRPr="004F181E">
        <w:tab/>
      </w:r>
    </w:p>
    <w:p w14:paraId="2C1E2D91" w14:textId="77777777" w:rsidR="00C1719F" w:rsidRPr="004F181E" w:rsidRDefault="00C1719F" w:rsidP="004F181E">
      <w:r w:rsidRPr="004F181E">
        <w:t>Project: Sources and Health Impacts of Dietary Potassium (SHIP)</w:t>
      </w:r>
    </w:p>
    <w:p w14:paraId="1CC6F144" w14:textId="77777777" w:rsidR="00C1719F" w:rsidRPr="004F181E" w:rsidRDefault="00C1719F" w:rsidP="004F181E">
      <w:r w:rsidRPr="004F181E">
        <w:t>Population Health Research</w:t>
      </w:r>
    </w:p>
    <w:p w14:paraId="17226C29" w14:textId="77777777" w:rsidR="00C1719F" w:rsidRDefault="00C1719F" w:rsidP="004F181E">
      <w:pPr>
        <w:rPr>
          <w:rFonts w:cs="Calibri"/>
          <w:color w:val="000000"/>
        </w:rPr>
      </w:pPr>
      <w:r w:rsidRPr="004F181E">
        <w:t xml:space="preserve">Award Amount: </w:t>
      </w:r>
      <w:r w:rsidRPr="004F181E">
        <w:rPr>
          <w:rFonts w:cs="Calibri"/>
          <w:color w:val="000000"/>
        </w:rPr>
        <w:t>€</w:t>
      </w:r>
      <w:r w:rsidR="000D3DA1" w:rsidRPr="00272AF1">
        <w:rPr>
          <w:rFonts w:cs="Calibri"/>
          <w:color w:val="000000"/>
        </w:rPr>
        <w:t>412,340</w:t>
      </w:r>
    </w:p>
    <w:p w14:paraId="1E9C2C0D" w14:textId="77777777" w:rsidR="004F181E" w:rsidRPr="004F181E" w:rsidRDefault="004F181E" w:rsidP="004F181E">
      <w:r>
        <w:rPr>
          <w:rFonts w:cs="Calibri"/>
          <w:color w:val="000000"/>
        </w:rPr>
        <w:lastRenderedPageBreak/>
        <w:t>Lay summary</w:t>
      </w:r>
    </w:p>
    <w:p w14:paraId="6852A950" w14:textId="77777777" w:rsidR="00C1719F" w:rsidRPr="00727C4F" w:rsidRDefault="00C1719F" w:rsidP="00C1719F">
      <w:pPr>
        <w:rPr>
          <w:rFonts w:cs="Calibri"/>
        </w:rPr>
      </w:pPr>
      <w:r w:rsidRPr="00727C4F">
        <w:rPr>
          <w:rFonts w:cs="Calibri"/>
        </w:rPr>
        <w:t>Nutrition has complex associations with health, including non-communicable disease (NCD). Therefore, dietary modification may prevent or delay NCD. Until now, the primary focus was sodium, where data are inconsistent, and potassium was forgotten. Potassium (diet or supplements) includes salts with multiple anions. Urinary excretion accounts for 70% of intake and ignores sources or indices of potassium, which impact metabolism. It is essential that we better understand the sources, mechanisms, benefits, harms and feasibility of higher potassium intake. Although potassium-based salt substitutes are beneficial in China (where discretionary salt use is high), findings may not translate where discretionary salt use is low). Through SHIP, I will utilise multi-level modelling approaches to determine levels of dietary intake, including predominant sources, at global, regional and economic levels within the Prospective Urban Rural Epidemiology (PURE) study, a large, international cohort study with rich dietary data (country-specific, validated, 95-250 item food frequency questionnaires). Second, I will explore global and regional differences in relative intake (as an index of nutrients or foods). Third, I will generate novel mechanistic insights into the physiology of potassium intake by exploring associations with ~1000 protein biomarkers, using novel analytic approaches including Mendelian Randomisation, in a nested case-cohort study within PURE. Finally, I will estimate the overarching association between potassium and health (cardiovascular disease, kidney disease, hospitalisations, cognition, function and mortality). My programme will provide novel mechanistic insights, inform dietary recommendations and population-level interventions to reduce NCD.</w:t>
      </w:r>
    </w:p>
    <w:p w14:paraId="463663EA" w14:textId="77777777" w:rsidR="00DF1379" w:rsidRDefault="00DF1379">
      <w:pPr>
        <w:rPr>
          <w:b/>
          <w:bCs/>
        </w:rPr>
      </w:pPr>
      <w:r>
        <w:rPr>
          <w:b/>
          <w:bCs/>
        </w:rPr>
        <w:br w:type="page"/>
      </w:r>
    </w:p>
    <w:p w14:paraId="2FA3D988" w14:textId="77777777" w:rsidR="00C1719F" w:rsidRDefault="00C1719F" w:rsidP="00DF1379">
      <w:pPr>
        <w:rPr>
          <w:b/>
          <w:bCs/>
        </w:rPr>
      </w:pPr>
    </w:p>
    <w:p w14:paraId="3BDD01DC" w14:textId="77777777" w:rsidR="007855AF" w:rsidRPr="007855AF" w:rsidRDefault="007855AF" w:rsidP="00DF1379">
      <w:pPr>
        <w:pStyle w:val="Heading2"/>
      </w:pPr>
      <w:r w:rsidRPr="007855AF">
        <w:t>University Of Limerick</w:t>
      </w:r>
    </w:p>
    <w:p w14:paraId="289D2B64" w14:textId="77777777" w:rsidR="00DF1379" w:rsidRDefault="00DF1379" w:rsidP="009237F3">
      <w:pPr>
        <w:rPr>
          <w:b/>
          <w:bCs/>
        </w:rPr>
      </w:pPr>
    </w:p>
    <w:p w14:paraId="30966655" w14:textId="77777777" w:rsidR="000D3DA1" w:rsidRPr="00FC64F9" w:rsidRDefault="000D3DA1" w:rsidP="000D3DA1">
      <w:pPr>
        <w:rPr>
          <w:b/>
          <w:bCs/>
        </w:rPr>
      </w:pPr>
      <w:r w:rsidRPr="00FC64F9">
        <w:t xml:space="preserve">2 awards, total value: </w:t>
      </w:r>
      <w:r w:rsidRPr="00A37F26">
        <w:t>€</w:t>
      </w:r>
      <w:r>
        <w:t>852,397</w:t>
      </w:r>
      <w:r w:rsidRPr="00FC64F9">
        <w:rPr>
          <w:b/>
          <w:bCs/>
        </w:rPr>
        <w:t xml:space="preserve"> </w:t>
      </w:r>
    </w:p>
    <w:p w14:paraId="14E09DE7" w14:textId="77777777" w:rsidR="009237F3" w:rsidRDefault="009237F3" w:rsidP="009237F3">
      <w:pPr>
        <w:rPr>
          <w:b/>
          <w:bCs/>
        </w:rPr>
      </w:pPr>
    </w:p>
    <w:p w14:paraId="0816644A" w14:textId="77777777" w:rsidR="009237F3" w:rsidRPr="00704A64" w:rsidRDefault="005858F6" w:rsidP="004F181E">
      <w:pPr>
        <w:pStyle w:val="Heading3"/>
      </w:pPr>
      <w:r>
        <w:t xml:space="preserve">28. </w:t>
      </w:r>
      <w:r w:rsidR="009237F3" w:rsidRPr="00704A64">
        <w:t>Lead Applicant: Professor Rose Galvin</w:t>
      </w:r>
      <w:r w:rsidR="009237F3" w:rsidRPr="00704A64">
        <w:tab/>
      </w:r>
    </w:p>
    <w:p w14:paraId="5E12154A" w14:textId="77777777" w:rsidR="009237F3" w:rsidRDefault="009237F3" w:rsidP="004F181E">
      <w:r w:rsidRPr="00704A64">
        <w:t>Project: Development of a Core Outcome Set for research studies evaluating the effectiveness of Comprehensive Geriatric Assessment</w:t>
      </w:r>
    </w:p>
    <w:p w14:paraId="76C7B0BD" w14:textId="77777777" w:rsidR="009237F3" w:rsidRDefault="009237F3" w:rsidP="004F181E">
      <w:r>
        <w:t>Health Services Research</w:t>
      </w:r>
    </w:p>
    <w:p w14:paraId="65D44256" w14:textId="77777777" w:rsidR="004F181E" w:rsidRDefault="009237F3" w:rsidP="004F181E">
      <w:r>
        <w:t xml:space="preserve">Award Amount: </w:t>
      </w:r>
      <w:r w:rsidRPr="00566FD7">
        <w:t>€</w:t>
      </w:r>
      <w:r w:rsidR="000D3DA1" w:rsidRPr="00F61689">
        <w:t>428,904</w:t>
      </w:r>
    </w:p>
    <w:p w14:paraId="1B01CADD" w14:textId="77777777" w:rsidR="004F181E" w:rsidRPr="00704A64" w:rsidRDefault="004F181E" w:rsidP="004F181E">
      <w:r>
        <w:t>Lay summary</w:t>
      </w:r>
    </w:p>
    <w:p w14:paraId="2ED05029" w14:textId="77777777" w:rsidR="009237F3" w:rsidRPr="00727C4F" w:rsidRDefault="009237F3" w:rsidP="009237F3">
      <w:pPr>
        <w:rPr>
          <w:rFonts w:cs="Calibri"/>
        </w:rPr>
      </w:pPr>
      <w:r w:rsidRPr="00727C4F">
        <w:rPr>
          <w:rFonts w:cs="Calibri"/>
        </w:rPr>
        <w:t>Background: Comprehensive geriatric assessment (CGA) is a holistic model of care, which proactively identifies and addresses complex and multifactorial needs in older adults. The rapid acceleration in the ageing population means we are depending on CGA to deliver effective, efficient, sustainable and affordable gerontological care. While CGA first emerged as a model of care for frail older adults in hospital, it is proliferating in other specialities (emergency medicine, surgery, orthopaedics, oncology, renal) as well as community, ambulatory care and long-term care settings. Variations in outcome reporting across trials has impacted the synthesis of findings.</w:t>
      </w:r>
    </w:p>
    <w:p w14:paraId="08A00080" w14:textId="77777777" w:rsidR="009237F3" w:rsidRPr="00727C4F" w:rsidRDefault="009237F3" w:rsidP="009237F3">
      <w:pPr>
        <w:rPr>
          <w:rFonts w:cs="Calibri"/>
        </w:rPr>
      </w:pPr>
      <w:r w:rsidRPr="00727C4F">
        <w:rPr>
          <w:rFonts w:cs="Calibri"/>
        </w:rPr>
        <w:t>Aim: The aim of this research project is to develop an evidence and consensus-based Core Outcome Set (COS) for research studies evaluating the effectiveness of CGA for older adults</w:t>
      </w:r>
    </w:p>
    <w:p w14:paraId="7D3FEC8A" w14:textId="77777777" w:rsidR="009237F3" w:rsidRPr="00727C4F" w:rsidRDefault="009237F3" w:rsidP="009237F3">
      <w:pPr>
        <w:rPr>
          <w:rFonts w:cs="Calibri"/>
        </w:rPr>
      </w:pPr>
      <w:r w:rsidRPr="00727C4F">
        <w:rPr>
          <w:rFonts w:cs="Calibri"/>
        </w:rPr>
        <w:t>Methods: We will adhere to COS development methodology recommendations from the COMET Initiative (Core Outcome Measures in Effectiveness Trials). Meaningful engagement with older adults in their capacity as co-researchers will inform and guide the research process.</w:t>
      </w:r>
    </w:p>
    <w:p w14:paraId="18625343" w14:textId="77777777" w:rsidR="009237F3" w:rsidRPr="00727C4F" w:rsidRDefault="009237F3" w:rsidP="009237F3">
      <w:pPr>
        <w:rPr>
          <w:rFonts w:cs="Calibri"/>
        </w:rPr>
      </w:pPr>
      <w:r w:rsidRPr="00727C4F">
        <w:rPr>
          <w:rFonts w:cs="Calibri"/>
        </w:rPr>
        <w:t>The following series of studies will underpin the development of this COS:</w:t>
      </w:r>
    </w:p>
    <w:p w14:paraId="0F20DED3" w14:textId="77777777" w:rsidR="009237F3" w:rsidRPr="00727C4F" w:rsidRDefault="009237F3" w:rsidP="009237F3">
      <w:pPr>
        <w:rPr>
          <w:rFonts w:cs="Calibri"/>
        </w:rPr>
      </w:pPr>
      <w:r w:rsidRPr="00727C4F">
        <w:rPr>
          <w:rFonts w:cs="Calibri"/>
        </w:rPr>
        <w:t>A scoping review of trial registries to establish commonly reported CGA outcomes and associated instruments.</w:t>
      </w:r>
    </w:p>
    <w:p w14:paraId="7B1101F1" w14:textId="77777777" w:rsidR="009237F3" w:rsidRPr="00727C4F" w:rsidRDefault="009237F3" w:rsidP="009237F3">
      <w:pPr>
        <w:rPr>
          <w:rFonts w:cs="Calibri"/>
        </w:rPr>
      </w:pPr>
      <w:r w:rsidRPr="00727C4F">
        <w:rPr>
          <w:rFonts w:cs="Calibri"/>
        </w:rPr>
        <w:t>A rapid qualitative evidence synthesis on outcomes of importance in research studies with older adults and CGA.</w:t>
      </w:r>
    </w:p>
    <w:p w14:paraId="56846AB8" w14:textId="77777777" w:rsidR="009237F3" w:rsidRPr="00727C4F" w:rsidRDefault="009237F3" w:rsidP="009237F3">
      <w:pPr>
        <w:rPr>
          <w:rFonts w:cs="Calibri"/>
        </w:rPr>
      </w:pPr>
      <w:r w:rsidRPr="00727C4F">
        <w:rPr>
          <w:rFonts w:cs="Calibri"/>
        </w:rPr>
        <w:t>Participatory research methods to identify outcomes relevant to older adults and those important to them, healthcare professionals and research stakeholders</w:t>
      </w:r>
    </w:p>
    <w:p w14:paraId="30FEEB89" w14:textId="77777777" w:rsidR="009237F3" w:rsidRPr="00727C4F" w:rsidRDefault="009237F3" w:rsidP="009237F3">
      <w:pPr>
        <w:rPr>
          <w:rFonts w:cs="Calibri"/>
        </w:rPr>
      </w:pPr>
      <w:r w:rsidRPr="00727C4F">
        <w:rPr>
          <w:rFonts w:cs="Calibri"/>
        </w:rPr>
        <w:t>An e-Delphi study and consensus meeting with key stakeholders to reach consensus on inclusion of items in the COS</w:t>
      </w:r>
    </w:p>
    <w:p w14:paraId="3E9EC6AE" w14:textId="77777777" w:rsidR="009237F3" w:rsidRPr="00727C4F" w:rsidRDefault="009237F3" w:rsidP="009237F3">
      <w:pPr>
        <w:rPr>
          <w:rFonts w:cs="Calibri"/>
        </w:rPr>
      </w:pPr>
      <w:r w:rsidRPr="00727C4F">
        <w:rPr>
          <w:rFonts w:cs="Calibri"/>
        </w:rPr>
        <w:t>A literature review and group consensus meeting to establish recommended outcome measures.</w:t>
      </w:r>
    </w:p>
    <w:p w14:paraId="6C38C7DE" w14:textId="77777777" w:rsidR="009237F3" w:rsidRDefault="009237F3" w:rsidP="009237F3">
      <w:pPr>
        <w:rPr>
          <w:rFonts w:cs="Calibri"/>
        </w:rPr>
      </w:pPr>
      <w:r w:rsidRPr="00727C4F">
        <w:rPr>
          <w:rFonts w:cs="Calibri"/>
        </w:rPr>
        <w:t>Impact: COS for research studies evaluating the effectiveness of CGA has the potential to enhance the conduct and reporting of future clinical trials, systematic reviews and clinical guidelines by facilitating the availability of comparable data and by ensuring outcomes that matter to all stakeholders are represented.</w:t>
      </w:r>
    </w:p>
    <w:p w14:paraId="59587480" w14:textId="77777777" w:rsidR="009237F3" w:rsidRDefault="009237F3" w:rsidP="009237F3"/>
    <w:p w14:paraId="317A3F39" w14:textId="77777777" w:rsidR="008D7980" w:rsidRDefault="008D7980" w:rsidP="001827BC">
      <w:pPr>
        <w:spacing w:before="120" w:after="120" w:line="276" w:lineRule="auto"/>
      </w:pPr>
    </w:p>
    <w:p w14:paraId="39D836B0" w14:textId="77777777" w:rsidR="008D7980" w:rsidRDefault="008D7980" w:rsidP="001827BC">
      <w:pPr>
        <w:spacing w:before="120" w:after="120" w:line="276" w:lineRule="auto"/>
      </w:pPr>
    </w:p>
    <w:p w14:paraId="36B6D4A1" w14:textId="77777777" w:rsidR="009237F3" w:rsidRPr="00F94A4D" w:rsidRDefault="005858F6" w:rsidP="004F181E">
      <w:pPr>
        <w:pStyle w:val="Heading3"/>
      </w:pPr>
      <w:r>
        <w:t xml:space="preserve">29. </w:t>
      </w:r>
      <w:r w:rsidR="009237F3" w:rsidRPr="00F94A4D">
        <w:t>Lead Applicant: Associate Professor Sara Hayes</w:t>
      </w:r>
      <w:r w:rsidR="009237F3" w:rsidRPr="00F94A4D">
        <w:tab/>
      </w:r>
    </w:p>
    <w:p w14:paraId="1F080466" w14:textId="77777777" w:rsidR="009237F3" w:rsidRDefault="009237F3" w:rsidP="004F181E">
      <w:r w:rsidRPr="00F94A4D">
        <w:t>Project: The development of an adaptive cognitive rehabilitation intervention post-stroke</w:t>
      </w:r>
    </w:p>
    <w:p w14:paraId="119D83B7" w14:textId="77777777" w:rsidR="00BD2021" w:rsidRPr="00BD2021" w:rsidRDefault="00BD2021" w:rsidP="004F181E">
      <w:r>
        <w:t>Health Services Research</w:t>
      </w:r>
    </w:p>
    <w:p w14:paraId="62D2C1F8" w14:textId="77777777" w:rsidR="004F181E" w:rsidRDefault="009237F3" w:rsidP="004F181E">
      <w:r>
        <w:t xml:space="preserve">Award Amount: </w:t>
      </w:r>
      <w:r w:rsidRPr="00CA09E0">
        <w:t>€</w:t>
      </w:r>
      <w:r w:rsidR="000D3DA1" w:rsidRPr="00F61689">
        <w:t>423,493</w:t>
      </w:r>
    </w:p>
    <w:p w14:paraId="4A6833AA" w14:textId="77777777" w:rsidR="004F181E" w:rsidRPr="00F94A4D" w:rsidRDefault="004F181E" w:rsidP="004F181E">
      <w:r>
        <w:t>Lay summary</w:t>
      </w:r>
    </w:p>
    <w:p w14:paraId="1A92E22B" w14:textId="77777777" w:rsidR="009237F3" w:rsidRPr="00727C4F" w:rsidRDefault="009237F3" w:rsidP="009237F3">
      <w:pPr>
        <w:rPr>
          <w:rFonts w:cs="Calibri"/>
        </w:rPr>
      </w:pPr>
      <w:r w:rsidRPr="00727C4F">
        <w:rPr>
          <w:rFonts w:cs="Calibri"/>
        </w:rPr>
        <w:t>Introduction</w:t>
      </w:r>
      <w:r>
        <w:rPr>
          <w:rFonts w:cs="Calibri"/>
        </w:rPr>
        <w:t xml:space="preserve">: </w:t>
      </w:r>
      <w:r w:rsidRPr="00727C4F">
        <w:rPr>
          <w:rFonts w:cs="Calibri"/>
        </w:rPr>
        <w:t xml:space="preserve">Stroke is the second leading cause of death and the third leading cause of disability worldwide. Cognitive impairment relates to challenges with memory, attention, language and perception and up to 38% of people demonstrate cognitive impairment one-year post-stroke. It is associated with poorer quality of life, reduced chance of survival, increased risk of institutionalisation, higher caregiver burden and increased costs. International consensus has highlighted it as an area of unmet need post-stroke. However, the focus of rehabilitation programmes post-stroke is often placed on physical difficulties, neglecting hidden cognitive impairment. Meta-analytic evidence demonstrates that existing cognitive rehabilitation interventions have not shown substantial or long-term improvements. Interventions that are individually-tailored to each person are recommended. However, there is no reliable information on the best way of developing interventions capable of adapting to individual response. This identifies a clear direction for future research.  </w:t>
      </w:r>
    </w:p>
    <w:p w14:paraId="0FFB4432" w14:textId="77777777" w:rsidR="009237F3" w:rsidRPr="00727C4F" w:rsidRDefault="009237F3" w:rsidP="009237F3">
      <w:pPr>
        <w:rPr>
          <w:rFonts w:cs="Calibri"/>
        </w:rPr>
      </w:pPr>
      <w:r w:rsidRPr="00727C4F">
        <w:rPr>
          <w:rFonts w:cs="Calibri"/>
        </w:rPr>
        <w:t>Aim</w:t>
      </w:r>
      <w:r>
        <w:rPr>
          <w:rFonts w:cs="Calibri"/>
        </w:rPr>
        <w:t xml:space="preserve">: </w:t>
      </w:r>
      <w:r w:rsidRPr="00727C4F">
        <w:rPr>
          <w:rFonts w:cs="Calibri"/>
        </w:rPr>
        <w:t xml:space="preserve">To develop an adaptive cognitive rehabilitation intervention to tackle the urgent issue of cognitive impairment post-stroke. The feasibility of the adaptive intervention developed in the research will be subsequently evaluated against treatment-as-usual. </w:t>
      </w:r>
    </w:p>
    <w:p w14:paraId="3573EAF6" w14:textId="77777777" w:rsidR="009237F3" w:rsidRPr="00727C4F" w:rsidRDefault="009237F3" w:rsidP="009237F3">
      <w:pPr>
        <w:rPr>
          <w:rFonts w:cs="Calibri"/>
        </w:rPr>
      </w:pPr>
      <w:r w:rsidRPr="00727C4F">
        <w:rPr>
          <w:rFonts w:cs="Calibri"/>
        </w:rPr>
        <w:t>Methods</w:t>
      </w:r>
      <w:r>
        <w:rPr>
          <w:rFonts w:cs="Calibri"/>
        </w:rPr>
        <w:t xml:space="preserve">: </w:t>
      </w:r>
      <w:r w:rsidRPr="00727C4F">
        <w:rPr>
          <w:rFonts w:cs="Calibri"/>
        </w:rPr>
        <w:t>Experience-based co-design methods will be used to involve people with cognitive impairment post-stroke, family carers, healthcare professionals and patient advocates to develop a user-and evidence-informed adaptive cognitive rehabilitation intervention. A Sequential Multiple Assignment Randomised Trial will be used to examine the optimum adaptive cognitive rehabilitation intervention among people with cognitive impairment, living in the community post-stroke. An exploration of stakeholders’ perspectives on the acceptability of the intervention will be completed in a process evaluation.</w:t>
      </w:r>
    </w:p>
    <w:p w14:paraId="3B09AD12" w14:textId="77777777" w:rsidR="009237F3" w:rsidRPr="00727C4F" w:rsidRDefault="009237F3" w:rsidP="009237F3">
      <w:pPr>
        <w:rPr>
          <w:rFonts w:cs="Calibri"/>
        </w:rPr>
      </w:pPr>
      <w:r w:rsidRPr="00727C4F">
        <w:rPr>
          <w:rFonts w:cs="Calibri"/>
        </w:rPr>
        <w:t>Discussion</w:t>
      </w:r>
      <w:r>
        <w:rPr>
          <w:rFonts w:cs="Calibri"/>
        </w:rPr>
        <w:t xml:space="preserve">: </w:t>
      </w:r>
      <w:r w:rsidRPr="00727C4F">
        <w:rPr>
          <w:rFonts w:cs="Calibri"/>
        </w:rPr>
        <w:t>Poorly managed cognitive impairment post-stroke is a major public health problem. This internationally-renowned cross-disciplinary team will make a substantial contribution to stroke recovery research by pioneering the combination of co-design and a novel experimental design to empirically develop an adaptive cognitive rehabilitation intervention for future feasibility testing.</w:t>
      </w:r>
    </w:p>
    <w:p w14:paraId="7D414CE0" w14:textId="77777777" w:rsidR="007B175F" w:rsidRDefault="007B175F"/>
    <w:p w14:paraId="4D2F1633" w14:textId="77777777" w:rsidR="005858F6" w:rsidRDefault="005858F6">
      <w:r>
        <w:t>ENDS.</w:t>
      </w:r>
    </w:p>
    <w:p w14:paraId="227380DD" w14:textId="77777777" w:rsidR="00526FA1" w:rsidRDefault="00526FA1" w:rsidP="00515EA4"/>
    <w:p w14:paraId="155D44C0" w14:textId="77777777" w:rsidR="00260A87" w:rsidRDefault="00260A87">
      <w:pPr>
        <w:rPr>
          <w:b/>
          <w:bCs/>
        </w:rPr>
      </w:pPr>
      <w:r>
        <w:rPr>
          <w:b/>
          <w:bCs/>
        </w:rPr>
        <w:br w:type="page"/>
      </w:r>
    </w:p>
    <w:p w14:paraId="44236C10" w14:textId="25E67683" w:rsidR="00DC0A6D" w:rsidRPr="00821463" w:rsidRDefault="00DC0A6D" w:rsidP="00515EA4">
      <w:pPr>
        <w:rPr>
          <w:b/>
          <w:bCs/>
        </w:rPr>
      </w:pPr>
      <w:r w:rsidRPr="00821463">
        <w:rPr>
          <w:b/>
          <w:bCs/>
        </w:rPr>
        <w:lastRenderedPageBreak/>
        <w:t xml:space="preserve">Details of the </w:t>
      </w:r>
      <w:r w:rsidR="00C340B3">
        <w:rPr>
          <w:b/>
          <w:bCs/>
        </w:rPr>
        <w:t>H</w:t>
      </w:r>
      <w:r w:rsidRPr="00821463">
        <w:rPr>
          <w:b/>
          <w:bCs/>
        </w:rPr>
        <w:t xml:space="preserve">ost </w:t>
      </w:r>
      <w:r w:rsidR="00C340B3">
        <w:rPr>
          <w:b/>
          <w:bCs/>
        </w:rPr>
        <w:t>I</w:t>
      </w:r>
      <w:r w:rsidRPr="00821463">
        <w:rPr>
          <w:b/>
          <w:bCs/>
        </w:rPr>
        <w:t>nstitution’s press contacts:</w:t>
      </w:r>
    </w:p>
    <w:p w14:paraId="1DF56A1F" w14:textId="77777777" w:rsidR="00DC0A6D" w:rsidRDefault="00DC0A6D" w:rsidP="00DC0A6D">
      <w:r>
        <w:t>Host Institution: Royal College of Surgeons in Ireland</w:t>
      </w:r>
    </w:p>
    <w:p w14:paraId="6AF4E59A" w14:textId="77777777" w:rsidR="0050239C" w:rsidRDefault="00DC0A6D" w:rsidP="00DC0A6D">
      <w:r>
        <w:t xml:space="preserve">Press Contact: </w:t>
      </w:r>
      <w:r w:rsidRPr="0045316A">
        <w:t>Jane Butler, Communications Manager, RCSI University of Medicine and Health Sciences</w:t>
      </w:r>
      <w:r w:rsidRPr="0045316A">
        <w:rPr>
          <w:b/>
          <w:bCs/>
        </w:rPr>
        <w:t xml:space="preserve">.  </w:t>
      </w:r>
      <w:r>
        <w:t xml:space="preserve"> </w:t>
      </w:r>
    </w:p>
    <w:p w14:paraId="50192394" w14:textId="77777777" w:rsidR="00DC0A6D" w:rsidRDefault="00DC0A6D" w:rsidP="00DC0A6D">
      <w:r>
        <w:t>Email:</w:t>
      </w:r>
      <w:r w:rsidRPr="0045316A">
        <w:t xml:space="preserve"> </w:t>
      </w:r>
      <w:hyperlink r:id="rId11" w:history="1">
        <w:r w:rsidRPr="007260B0">
          <w:rPr>
            <w:rStyle w:val="Hyperlink"/>
          </w:rPr>
          <w:t>janebutler@rcsi.ie</w:t>
        </w:r>
      </w:hyperlink>
      <w:r w:rsidRPr="0045316A">
        <w:t xml:space="preserve">    </w:t>
      </w:r>
      <w:r>
        <w:t xml:space="preserve">Phone: </w:t>
      </w:r>
      <w:r w:rsidRPr="000B74F8">
        <w:t>+353-(0)1-402-8610</w:t>
      </w:r>
    </w:p>
    <w:p w14:paraId="6F76CE7D" w14:textId="77777777" w:rsidR="00DC0A6D" w:rsidRDefault="00DC0A6D" w:rsidP="00DC0A6D"/>
    <w:p w14:paraId="3BDC7690" w14:textId="77777777" w:rsidR="00DC0A6D" w:rsidRDefault="00DC0A6D" w:rsidP="00DC0A6D">
      <w:r>
        <w:t>Host Institution: University of Limerick</w:t>
      </w:r>
    </w:p>
    <w:p w14:paraId="13BD548C" w14:textId="77777777" w:rsidR="0050239C" w:rsidRDefault="00DC0A6D" w:rsidP="00DC0A6D">
      <w:r>
        <w:t xml:space="preserve">Press Contact: </w:t>
      </w:r>
      <w:r w:rsidRPr="00FA71AA">
        <w:t>Alan</w:t>
      </w:r>
      <w:r>
        <w:t xml:space="preserve"> </w:t>
      </w:r>
      <w:r w:rsidRPr="00FA71AA">
        <w:t>Owens</w:t>
      </w:r>
      <w:r>
        <w:t xml:space="preserve">, Communications Officer, University of Limerick.                                    </w:t>
      </w:r>
    </w:p>
    <w:p w14:paraId="6161375B" w14:textId="77777777" w:rsidR="00DC0A6D" w:rsidRDefault="00DC0A6D" w:rsidP="00DC0A6D">
      <w:r>
        <w:t xml:space="preserve">Email: </w:t>
      </w:r>
      <w:r w:rsidRPr="00FA71AA">
        <w:t>Alan.Owens@ul.ie</w:t>
      </w:r>
      <w:r>
        <w:t xml:space="preserve">              </w:t>
      </w:r>
    </w:p>
    <w:p w14:paraId="6995763F" w14:textId="77777777" w:rsidR="00DC0A6D" w:rsidRDefault="00DC0A6D" w:rsidP="00DC0A6D"/>
    <w:p w14:paraId="25E64713" w14:textId="77777777" w:rsidR="00DC0A6D" w:rsidRDefault="00DC0A6D" w:rsidP="00BE48F4">
      <w:r>
        <w:t>Host Institution: Trinity College Dublin</w:t>
      </w:r>
    </w:p>
    <w:p w14:paraId="0E4164DE" w14:textId="77777777" w:rsidR="0050239C" w:rsidRDefault="00DC0A6D" w:rsidP="00DC0A6D">
      <w:r>
        <w:t xml:space="preserve">Press Contact: </w:t>
      </w:r>
      <w:r w:rsidRPr="0045316A">
        <w:t>Ciara O’Shea, Media Relations Officer, Trinity Communications, Trinity College Dublin</w:t>
      </w:r>
      <w:r>
        <w:t>.</w:t>
      </w:r>
    </w:p>
    <w:p w14:paraId="7DC75EA1" w14:textId="77777777" w:rsidR="000D3DA1" w:rsidRDefault="000D3DA1" w:rsidP="000D3DA1">
      <w:r>
        <w:t>Email:</w:t>
      </w:r>
      <w:r w:rsidRPr="0045316A">
        <w:t xml:space="preserve"> </w:t>
      </w:r>
      <w:hyperlink r:id="rId12" w:history="1">
        <w:r w:rsidRPr="00126C16">
          <w:rPr>
            <w:rStyle w:val="Hyperlink"/>
          </w:rPr>
          <w:t>coshea9@tcd.ie</w:t>
        </w:r>
      </w:hyperlink>
      <w:r>
        <w:t xml:space="preserve">  Phone:</w:t>
      </w:r>
      <w:r w:rsidRPr="000B74F8">
        <w:t> +353 1 896 4337</w:t>
      </w:r>
    </w:p>
    <w:p w14:paraId="6486395A" w14:textId="77777777" w:rsidR="00DC0A6D" w:rsidRDefault="00DC0A6D" w:rsidP="00DC0A6D"/>
    <w:p w14:paraId="0C531D12" w14:textId="77777777" w:rsidR="00DC0A6D" w:rsidRDefault="00DC0A6D" w:rsidP="00DC0A6D">
      <w:r>
        <w:t>Host Institution: University College Dublin</w:t>
      </w:r>
    </w:p>
    <w:p w14:paraId="6B8EFA2D" w14:textId="77777777" w:rsidR="00DC0A6D" w:rsidRDefault="00DC0A6D" w:rsidP="00DC0A6D">
      <w:r>
        <w:t xml:space="preserve">Press Contact:   Caroline Byrne, Communications Manager, UCD Research                                  </w:t>
      </w:r>
    </w:p>
    <w:p w14:paraId="67208ADA" w14:textId="77777777" w:rsidR="00DC0A6D" w:rsidRDefault="00DC0A6D" w:rsidP="00DC0A6D">
      <w:r>
        <w:t>Email:</w:t>
      </w:r>
      <w:r w:rsidRPr="00667994">
        <w:t xml:space="preserve"> </w:t>
      </w:r>
      <w:hyperlink r:id="rId13" w:history="1">
        <w:r w:rsidRPr="009907CC">
          <w:rPr>
            <w:rStyle w:val="Hyperlink"/>
          </w:rPr>
          <w:t>caroline.byrne1@ucd.ie</w:t>
        </w:r>
      </w:hyperlink>
    </w:p>
    <w:p w14:paraId="667BCCCC" w14:textId="77777777" w:rsidR="00DC0A6D" w:rsidRDefault="00DC0A6D" w:rsidP="00DC0A6D"/>
    <w:p w14:paraId="366C94C3" w14:textId="77777777" w:rsidR="00DC0A6D" w:rsidRDefault="00DC0A6D" w:rsidP="00AD6F5D">
      <w:r>
        <w:t>Host Institution: University Galway</w:t>
      </w:r>
    </w:p>
    <w:p w14:paraId="7E93D0D5" w14:textId="79DDB7E0" w:rsidR="0050239C" w:rsidRPr="00B60A79" w:rsidRDefault="00DC0A6D" w:rsidP="00AD6F5D">
      <w:pPr>
        <w:rPr>
          <w:lang w:val="en-IE"/>
        </w:rPr>
      </w:pPr>
      <w:r>
        <w:t xml:space="preserve">Press Contact:  </w:t>
      </w:r>
      <w:r w:rsidR="00B60A79" w:rsidRPr="00B60A79">
        <w:rPr>
          <w:lang w:val="en-IE"/>
        </w:rPr>
        <w:t>Ed Carty, Director of Marketing and Comms, University of Galway,</w:t>
      </w:r>
    </w:p>
    <w:p w14:paraId="07BF6CF9" w14:textId="5E16BC66" w:rsidR="00AD6F5D" w:rsidRPr="00B60A79" w:rsidRDefault="00DC0A6D" w:rsidP="00AD6F5D">
      <w:pPr>
        <w:rPr>
          <w:rStyle w:val="Hyperlink"/>
          <w:lang w:val="en-IE"/>
        </w:rPr>
      </w:pPr>
      <w:r>
        <w:t>Email:</w:t>
      </w:r>
      <w:r w:rsidR="004071A9">
        <w:rPr>
          <w:rStyle w:val="Hyperlink"/>
        </w:rPr>
        <w:t xml:space="preserve"> </w:t>
      </w:r>
      <w:hyperlink r:id="rId14" w:history="1">
        <w:r w:rsidR="00B60A79" w:rsidRPr="00B60A79">
          <w:rPr>
            <w:rStyle w:val="Hyperlink"/>
            <w:lang w:val="en-IE"/>
          </w:rPr>
          <w:t>ed.carty@universityofgalway.ie</w:t>
        </w:r>
      </w:hyperlink>
    </w:p>
    <w:p w14:paraId="55C44E05" w14:textId="77777777" w:rsidR="00AD6F5D" w:rsidRDefault="00AD6F5D" w:rsidP="00AD6F5D"/>
    <w:p w14:paraId="66F1ED2E" w14:textId="77777777" w:rsidR="00AD6F5D" w:rsidRDefault="00AD6F5D" w:rsidP="00AD6F5D">
      <w:r>
        <w:t>Host Institution: Maynooth University</w:t>
      </w:r>
    </w:p>
    <w:p w14:paraId="6A24F5F8" w14:textId="7B8646B5" w:rsidR="0050239C" w:rsidRDefault="00AD6F5D" w:rsidP="00515EA4">
      <w:r>
        <w:t xml:space="preserve">Press Contact: </w:t>
      </w:r>
      <w:r w:rsidRPr="000F5180">
        <w:t xml:space="preserve">Communications Office Maynooth University.  </w:t>
      </w:r>
    </w:p>
    <w:p w14:paraId="26FD1964" w14:textId="15F5717D" w:rsidR="000D3DA1" w:rsidRDefault="00AD6F5D" w:rsidP="000D3DA1">
      <w:r w:rsidRPr="000F5180">
        <w:t>Email:</w:t>
      </w:r>
      <w:r w:rsidR="001429E5">
        <w:t xml:space="preserve"> </w:t>
      </w:r>
      <w:r w:rsidR="001429E5" w:rsidRPr="001429E5">
        <w:t>communications@mu.ie</w:t>
      </w:r>
      <w:r>
        <w:t xml:space="preserve">   Phone:  +</w:t>
      </w:r>
      <w:r w:rsidRPr="000B74F8">
        <w:t>353</w:t>
      </w:r>
      <w:r>
        <w:t>-</w:t>
      </w:r>
      <w:r w:rsidRPr="000B74F8">
        <w:t>01</w:t>
      </w:r>
      <w:r>
        <w:t>-</w:t>
      </w:r>
      <w:r w:rsidRPr="000B74F8">
        <w:t>708</w:t>
      </w:r>
      <w:r>
        <w:t>-</w:t>
      </w:r>
      <w:r w:rsidRPr="000B74F8">
        <w:t>366</w:t>
      </w:r>
      <w:r w:rsidR="00AE5FC1">
        <w:t>2</w:t>
      </w:r>
    </w:p>
    <w:p w14:paraId="71F26318" w14:textId="33DEA382" w:rsidR="00DC0A6D" w:rsidRDefault="00DC0A6D" w:rsidP="000D3DA1">
      <w:pPr>
        <w:pStyle w:val="Heading1"/>
      </w:pPr>
    </w:p>
    <w:sectPr w:rsidR="00DC0A6D">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BF6938" w14:textId="77777777" w:rsidR="00DD4B04" w:rsidRDefault="00DD4B04" w:rsidP="00DF1379">
      <w:pPr>
        <w:spacing w:after="0" w:line="240" w:lineRule="auto"/>
      </w:pPr>
      <w:r>
        <w:separator/>
      </w:r>
    </w:p>
  </w:endnote>
  <w:endnote w:type="continuationSeparator" w:id="0">
    <w:p w14:paraId="060213F4" w14:textId="77777777" w:rsidR="00DD4B04" w:rsidRDefault="00DD4B04" w:rsidP="00DF1379">
      <w:pPr>
        <w:spacing w:after="0" w:line="240" w:lineRule="auto"/>
      </w:pPr>
      <w:r>
        <w:continuationSeparator/>
      </w:r>
    </w:p>
  </w:endnote>
  <w:endnote w:type="continuationNotice" w:id="1">
    <w:p w14:paraId="3732E108" w14:textId="77777777" w:rsidR="00DD4B04" w:rsidRDefault="00DD4B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3575430"/>
      <w:docPartObj>
        <w:docPartGallery w:val="Page Numbers (Bottom of Page)"/>
        <w:docPartUnique/>
      </w:docPartObj>
    </w:sdtPr>
    <w:sdtEndPr/>
    <w:sdtContent>
      <w:sdt>
        <w:sdtPr>
          <w:id w:val="-1769616900"/>
          <w:docPartObj>
            <w:docPartGallery w:val="Page Numbers (Top of Page)"/>
            <w:docPartUnique/>
          </w:docPartObj>
        </w:sdtPr>
        <w:sdtEndPr/>
        <w:sdtContent>
          <w:p w14:paraId="38D8B116" w14:textId="489B81DA" w:rsidR="00DF1379" w:rsidRDefault="00633BA1">
            <w:pPr>
              <w:pStyle w:val="Footer"/>
              <w:jc w:val="right"/>
            </w:pPr>
            <w:r>
              <w:t xml:space="preserve">ILP List 2024 </w:t>
            </w:r>
            <w:r w:rsidR="00DF1379">
              <w:t xml:space="preserve">Page </w:t>
            </w:r>
            <w:r w:rsidR="00DF1379">
              <w:rPr>
                <w:b/>
                <w:bCs/>
                <w:sz w:val="24"/>
                <w:szCs w:val="24"/>
              </w:rPr>
              <w:fldChar w:fldCharType="begin"/>
            </w:r>
            <w:r w:rsidR="00DF1379">
              <w:rPr>
                <w:b/>
                <w:bCs/>
              </w:rPr>
              <w:instrText xml:space="preserve"> PAGE </w:instrText>
            </w:r>
            <w:r w:rsidR="00DF1379">
              <w:rPr>
                <w:b/>
                <w:bCs/>
                <w:sz w:val="24"/>
                <w:szCs w:val="24"/>
              </w:rPr>
              <w:fldChar w:fldCharType="separate"/>
            </w:r>
            <w:r w:rsidR="00DF1379">
              <w:rPr>
                <w:b/>
                <w:bCs/>
                <w:noProof/>
              </w:rPr>
              <w:t>2</w:t>
            </w:r>
            <w:r w:rsidR="00DF1379">
              <w:rPr>
                <w:b/>
                <w:bCs/>
                <w:sz w:val="24"/>
                <w:szCs w:val="24"/>
              </w:rPr>
              <w:fldChar w:fldCharType="end"/>
            </w:r>
            <w:r w:rsidR="00DF1379">
              <w:t xml:space="preserve"> of </w:t>
            </w:r>
            <w:r w:rsidR="00DF1379">
              <w:rPr>
                <w:b/>
                <w:bCs/>
                <w:sz w:val="24"/>
                <w:szCs w:val="24"/>
              </w:rPr>
              <w:fldChar w:fldCharType="begin"/>
            </w:r>
            <w:r w:rsidR="00DF1379">
              <w:rPr>
                <w:b/>
                <w:bCs/>
              </w:rPr>
              <w:instrText xml:space="preserve"> NUMPAGES  </w:instrText>
            </w:r>
            <w:r w:rsidR="00DF1379">
              <w:rPr>
                <w:b/>
                <w:bCs/>
                <w:sz w:val="24"/>
                <w:szCs w:val="24"/>
              </w:rPr>
              <w:fldChar w:fldCharType="separate"/>
            </w:r>
            <w:r w:rsidR="00DF1379">
              <w:rPr>
                <w:b/>
                <w:bCs/>
                <w:noProof/>
              </w:rPr>
              <w:t>2</w:t>
            </w:r>
            <w:r w:rsidR="00DF1379">
              <w:rPr>
                <w:b/>
                <w:bCs/>
                <w:sz w:val="24"/>
                <w:szCs w:val="24"/>
              </w:rPr>
              <w:fldChar w:fldCharType="end"/>
            </w:r>
          </w:p>
        </w:sdtContent>
      </w:sdt>
    </w:sdtContent>
  </w:sdt>
  <w:p w14:paraId="46BF2B17" w14:textId="77777777" w:rsidR="00DF1379" w:rsidRDefault="00DF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7DBF27" w14:textId="77777777" w:rsidR="00DD4B04" w:rsidRDefault="00DD4B04" w:rsidP="00DF1379">
      <w:pPr>
        <w:spacing w:after="0" w:line="240" w:lineRule="auto"/>
      </w:pPr>
      <w:r>
        <w:separator/>
      </w:r>
    </w:p>
  </w:footnote>
  <w:footnote w:type="continuationSeparator" w:id="0">
    <w:p w14:paraId="0E52BE50" w14:textId="77777777" w:rsidR="00DD4B04" w:rsidRDefault="00DD4B04" w:rsidP="00DF1379">
      <w:pPr>
        <w:spacing w:after="0" w:line="240" w:lineRule="auto"/>
      </w:pPr>
      <w:r>
        <w:continuationSeparator/>
      </w:r>
    </w:p>
  </w:footnote>
  <w:footnote w:type="continuationNotice" w:id="1">
    <w:p w14:paraId="3285542E" w14:textId="77777777" w:rsidR="00DD4B04" w:rsidRDefault="00DD4B0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63574"/>
    <w:multiLevelType w:val="hybridMultilevel"/>
    <w:tmpl w:val="E1C01E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4D7BA9"/>
    <w:multiLevelType w:val="hybridMultilevel"/>
    <w:tmpl w:val="CBD43BE2"/>
    <w:lvl w:ilvl="0" w:tplc="7B54DA8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2AC7E89"/>
    <w:multiLevelType w:val="hybridMultilevel"/>
    <w:tmpl w:val="3C584CA2"/>
    <w:lvl w:ilvl="0" w:tplc="7B54DA8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0243962"/>
    <w:multiLevelType w:val="hybridMultilevel"/>
    <w:tmpl w:val="924014E0"/>
    <w:lvl w:ilvl="0" w:tplc="7B54DA8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73D65F8"/>
    <w:multiLevelType w:val="hybridMultilevel"/>
    <w:tmpl w:val="5B5E9F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FED3B87"/>
    <w:multiLevelType w:val="hybridMultilevel"/>
    <w:tmpl w:val="77EE42D6"/>
    <w:lvl w:ilvl="0" w:tplc="FED003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250C2D"/>
    <w:multiLevelType w:val="hybridMultilevel"/>
    <w:tmpl w:val="B98A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83DD6"/>
    <w:multiLevelType w:val="hybridMultilevel"/>
    <w:tmpl w:val="510EE6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0C7D22"/>
    <w:multiLevelType w:val="hybridMultilevel"/>
    <w:tmpl w:val="AAF4BE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081141"/>
    <w:multiLevelType w:val="multilevel"/>
    <w:tmpl w:val="D44288F4"/>
    <w:lvl w:ilvl="0">
      <w:start w:val="1"/>
      <w:numFmt w:val="decimal"/>
      <w:pStyle w:val="HRBNumberBulletTextL1-6"/>
      <w:lvlText w:val="%1."/>
      <w:lvlJc w:val="left"/>
      <w:pPr>
        <w:tabs>
          <w:tab w:val="num" w:pos="340"/>
        </w:tabs>
        <w:ind w:left="340" w:hanging="340"/>
      </w:pPr>
      <w:rPr>
        <w:rFonts w:hint="default"/>
        <w:color w:val="44546A" w:themeColor="text2"/>
      </w:rPr>
    </w:lvl>
    <w:lvl w:ilvl="1">
      <w:start w:val="1"/>
      <w:numFmt w:val="bullet"/>
      <w:lvlRestart w:val="0"/>
      <w:lvlText w:val=""/>
      <w:lvlJc w:val="left"/>
      <w:pPr>
        <w:tabs>
          <w:tab w:val="num" w:pos="680"/>
        </w:tabs>
        <w:ind w:left="680" w:hanging="340"/>
      </w:pPr>
      <w:rPr>
        <w:rFonts w:ascii="Symbol" w:hAnsi="Symbol" w:hint="default"/>
        <w:b w:val="0"/>
        <w:bCs w:val="0"/>
        <w:i w:val="0"/>
        <w:iCs w:val="0"/>
        <w:caps w:val="0"/>
        <w:smallCaps w:val="0"/>
        <w:strike w:val="0"/>
        <w:dstrike w:val="0"/>
        <w:outline w:val="0"/>
        <w:shadow w:val="0"/>
        <w:emboss w:val="0"/>
        <w:imprint w:val="0"/>
        <w:vanish w:val="0"/>
        <w:color w:val="44546A" w:themeColor="text2"/>
        <w:spacing w:val="0"/>
        <w:kern w:val="0"/>
        <w:position w:val="0"/>
        <w:u w:val="none"/>
        <w:effect w:val="none"/>
        <w:vertAlign w:val="baseline"/>
        <w:em w:val="none"/>
        <w14:ligatures w14:val="none"/>
        <w14:numForm w14:val="default"/>
        <w14:numSpacing w14:val="default"/>
        <w14:stylisticSets/>
        <w14:cntxtAlts w14:val="0"/>
      </w:rPr>
    </w:lvl>
    <w:lvl w:ilvl="2">
      <w:start w:val="1"/>
      <w:numFmt w:val="bullet"/>
      <w:lvlRestart w:val="0"/>
      <w:lvlText w:val=""/>
      <w:lvlJc w:val="left"/>
      <w:pPr>
        <w:tabs>
          <w:tab w:val="num" w:pos="1020"/>
        </w:tabs>
        <w:ind w:left="1020" w:hanging="340"/>
      </w:pPr>
      <w:rPr>
        <w:rFonts w:ascii="Symbol" w:hAnsi="Symbol" w:hint="default"/>
        <w:color w:val="44546A" w:themeColor="text2"/>
      </w:rPr>
    </w:lvl>
    <w:lvl w:ilvl="3">
      <w:start w:val="1"/>
      <w:numFmt w:val="bullet"/>
      <w:lvlText w:val=""/>
      <w:lvlJc w:val="left"/>
      <w:pPr>
        <w:tabs>
          <w:tab w:val="num" w:pos="1360"/>
        </w:tabs>
        <w:ind w:left="1360" w:hanging="340"/>
      </w:pPr>
      <w:rPr>
        <w:rFonts w:ascii="Symbol" w:hAnsi="Symbol" w:hint="default"/>
        <w:color w:val="44546A" w:themeColor="text2"/>
      </w:rPr>
    </w:lvl>
    <w:lvl w:ilvl="4">
      <w:start w:val="1"/>
      <w:numFmt w:val="lowerLetter"/>
      <w:lvlText w:val="%5."/>
      <w:lvlJc w:val="left"/>
      <w:pPr>
        <w:tabs>
          <w:tab w:val="num" w:pos="1700"/>
        </w:tabs>
        <w:ind w:left="1700" w:hanging="340"/>
      </w:pPr>
      <w:rPr>
        <w:rFonts w:hint="default"/>
        <w:color w:val="44546A" w:themeColor="text2"/>
      </w:rPr>
    </w:lvl>
    <w:lvl w:ilvl="5">
      <w:start w:val="1"/>
      <w:numFmt w:val="lowerRoman"/>
      <w:lvlText w:val="%6)"/>
      <w:lvlJc w:val="left"/>
      <w:pPr>
        <w:tabs>
          <w:tab w:val="num" w:pos="2040"/>
        </w:tabs>
        <w:ind w:left="2040" w:hanging="340"/>
      </w:pPr>
      <w:rPr>
        <w:rFonts w:hint="default"/>
        <w:color w:val="44546A" w:themeColor="text2"/>
      </w:rPr>
    </w:lvl>
    <w:lvl w:ilvl="6">
      <w:start w:val="1"/>
      <w:numFmt w:val="decimal"/>
      <w:lvlText w:val="%7."/>
      <w:lvlJc w:val="left"/>
      <w:pPr>
        <w:tabs>
          <w:tab w:val="num" w:pos="2380"/>
        </w:tabs>
        <w:ind w:left="2380" w:hanging="340"/>
      </w:pPr>
      <w:rPr>
        <w:rFonts w:hint="default"/>
        <w:color w:val="44546A" w:themeColor="text2"/>
      </w:rPr>
    </w:lvl>
    <w:lvl w:ilvl="7">
      <w:start w:val="1"/>
      <w:numFmt w:val="lowerLetter"/>
      <w:lvlText w:val="%8)"/>
      <w:lvlJc w:val="left"/>
      <w:pPr>
        <w:tabs>
          <w:tab w:val="num" w:pos="2720"/>
        </w:tabs>
        <w:ind w:left="2720" w:hanging="340"/>
      </w:pPr>
      <w:rPr>
        <w:rFonts w:hint="default"/>
        <w:color w:val="44546A" w:themeColor="text2"/>
      </w:rPr>
    </w:lvl>
    <w:lvl w:ilvl="8">
      <w:start w:val="1"/>
      <w:numFmt w:val="lowerRoman"/>
      <w:lvlText w:val="%9."/>
      <w:lvlJc w:val="left"/>
      <w:pPr>
        <w:tabs>
          <w:tab w:val="num" w:pos="3060"/>
        </w:tabs>
        <w:ind w:left="3060" w:hanging="340"/>
      </w:pPr>
      <w:rPr>
        <w:rFonts w:hint="default"/>
        <w:color w:val="44546A" w:themeColor="text2"/>
      </w:rPr>
    </w:lvl>
  </w:abstractNum>
  <w:abstractNum w:abstractNumId="10" w15:restartNumberingAfterBreak="0">
    <w:nsid w:val="5FC70EF6"/>
    <w:multiLevelType w:val="hybridMultilevel"/>
    <w:tmpl w:val="6E7058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21462B6"/>
    <w:multiLevelType w:val="hybridMultilevel"/>
    <w:tmpl w:val="AD704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C85622"/>
    <w:multiLevelType w:val="hybridMultilevel"/>
    <w:tmpl w:val="D07018D0"/>
    <w:lvl w:ilvl="0" w:tplc="7B54DA8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7349CA"/>
    <w:multiLevelType w:val="hybridMultilevel"/>
    <w:tmpl w:val="887432E0"/>
    <w:lvl w:ilvl="0" w:tplc="7B54DA8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70E548C"/>
    <w:multiLevelType w:val="hybridMultilevel"/>
    <w:tmpl w:val="B022B7B4"/>
    <w:lvl w:ilvl="0" w:tplc="7B54DA88">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156355F"/>
    <w:multiLevelType w:val="multilevel"/>
    <w:tmpl w:val="2BC69C80"/>
    <w:lvl w:ilvl="0">
      <w:start w:val="1"/>
      <w:numFmt w:val="bullet"/>
      <w:pStyle w:val="HRBBulletTextL1-6"/>
      <w:lvlText w:val=""/>
      <w:lvlJc w:val="left"/>
      <w:pPr>
        <w:tabs>
          <w:tab w:val="num" w:pos="340"/>
        </w:tabs>
        <w:ind w:left="340" w:hanging="340"/>
      </w:pPr>
      <w:rPr>
        <w:rFonts w:ascii="Symbol" w:hAnsi="Symbol" w:hint="default"/>
        <w:color w:val="A5A5A5" w:themeColor="accent3"/>
      </w:rPr>
    </w:lvl>
    <w:lvl w:ilvl="1">
      <w:start w:val="1"/>
      <w:numFmt w:val="bullet"/>
      <w:lvlText w:val="̶"/>
      <w:lvlJc w:val="left"/>
      <w:pPr>
        <w:tabs>
          <w:tab w:val="num" w:pos="680"/>
        </w:tabs>
        <w:ind w:left="680" w:hanging="340"/>
      </w:pPr>
      <w:rPr>
        <w:rFonts w:ascii="Calibri" w:hAnsi="Calibri" w:hint="default"/>
        <w:color w:val="44546A" w:themeColor="text2"/>
      </w:rPr>
    </w:lvl>
    <w:lvl w:ilvl="2">
      <w:start w:val="1"/>
      <w:numFmt w:val="bullet"/>
      <w:lvlText w:val=""/>
      <w:lvlJc w:val="left"/>
      <w:pPr>
        <w:tabs>
          <w:tab w:val="num" w:pos="1021"/>
        </w:tabs>
        <w:ind w:left="1020" w:hanging="340"/>
      </w:pPr>
      <w:rPr>
        <w:rFonts w:ascii="Symbol" w:hAnsi="Symbol" w:hint="default"/>
        <w:color w:val="A5A5A5" w:themeColor="accent3"/>
      </w:rPr>
    </w:lvl>
    <w:lvl w:ilvl="3">
      <w:start w:val="1"/>
      <w:numFmt w:val="bullet"/>
      <w:lvlText w:val="̶"/>
      <w:lvlJc w:val="left"/>
      <w:pPr>
        <w:tabs>
          <w:tab w:val="num" w:pos="1361"/>
        </w:tabs>
        <w:ind w:left="1360" w:hanging="340"/>
      </w:pPr>
      <w:rPr>
        <w:rFonts w:ascii="Calibri" w:hAnsi="Calibri" w:hint="default"/>
        <w:color w:val="44546A" w:themeColor="text2"/>
      </w:rPr>
    </w:lvl>
    <w:lvl w:ilvl="4">
      <w:start w:val="1"/>
      <w:numFmt w:val="bullet"/>
      <w:lvlText w:val=""/>
      <w:lvlJc w:val="left"/>
      <w:pPr>
        <w:tabs>
          <w:tab w:val="num" w:pos="1701"/>
        </w:tabs>
        <w:ind w:left="1700" w:hanging="340"/>
      </w:pPr>
      <w:rPr>
        <w:rFonts w:ascii="Symbol" w:hAnsi="Symbol" w:hint="default"/>
        <w:color w:val="44546A" w:themeColor="text2"/>
      </w:rPr>
    </w:lvl>
    <w:lvl w:ilvl="5">
      <w:start w:val="1"/>
      <w:numFmt w:val="bullet"/>
      <w:lvlText w:val="̶"/>
      <w:lvlJc w:val="left"/>
      <w:pPr>
        <w:tabs>
          <w:tab w:val="num" w:pos="2041"/>
        </w:tabs>
        <w:ind w:left="2040" w:hanging="340"/>
      </w:pPr>
      <w:rPr>
        <w:rFonts w:ascii="Calibri" w:hAnsi="Calibri" w:hint="default"/>
        <w:color w:val="44546A" w:themeColor="text2"/>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16" w15:restartNumberingAfterBreak="0">
    <w:nsid w:val="79145583"/>
    <w:multiLevelType w:val="hybridMultilevel"/>
    <w:tmpl w:val="878C89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52581978">
    <w:abstractNumId w:val="15"/>
  </w:num>
  <w:num w:numId="2" w16cid:durableId="285428263">
    <w:abstractNumId w:val="1"/>
  </w:num>
  <w:num w:numId="3" w16cid:durableId="1831210394">
    <w:abstractNumId w:val="12"/>
  </w:num>
  <w:num w:numId="4" w16cid:durableId="2068019844">
    <w:abstractNumId w:val="13"/>
  </w:num>
  <w:num w:numId="5" w16cid:durableId="1557624824">
    <w:abstractNumId w:val="2"/>
  </w:num>
  <w:num w:numId="6" w16cid:durableId="1197281441">
    <w:abstractNumId w:val="3"/>
  </w:num>
  <w:num w:numId="7" w16cid:durableId="352344093">
    <w:abstractNumId w:val="14"/>
  </w:num>
  <w:num w:numId="8" w16cid:durableId="692344216">
    <w:abstractNumId w:val="16"/>
  </w:num>
  <w:num w:numId="9" w16cid:durableId="383872547">
    <w:abstractNumId w:val="5"/>
  </w:num>
  <w:num w:numId="10" w16cid:durableId="1031491002">
    <w:abstractNumId w:val="9"/>
  </w:num>
  <w:num w:numId="11" w16cid:durableId="1965110140">
    <w:abstractNumId w:val="8"/>
  </w:num>
  <w:num w:numId="12" w16cid:durableId="966933302">
    <w:abstractNumId w:val="4"/>
  </w:num>
  <w:num w:numId="13" w16cid:durableId="559562031">
    <w:abstractNumId w:val="0"/>
  </w:num>
  <w:num w:numId="14" w16cid:durableId="1982541178">
    <w:abstractNumId w:val="10"/>
  </w:num>
  <w:num w:numId="15" w16cid:durableId="947276486">
    <w:abstractNumId w:val="6"/>
  </w:num>
  <w:num w:numId="16" w16cid:durableId="1509103457">
    <w:abstractNumId w:val="7"/>
  </w:num>
  <w:num w:numId="17" w16cid:durableId="15632461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DEE"/>
    <w:rsid w:val="00000774"/>
    <w:rsid w:val="00025ADF"/>
    <w:rsid w:val="0003240A"/>
    <w:rsid w:val="000468F5"/>
    <w:rsid w:val="00061FDD"/>
    <w:rsid w:val="00066E4E"/>
    <w:rsid w:val="00067741"/>
    <w:rsid w:val="0007203C"/>
    <w:rsid w:val="00073567"/>
    <w:rsid w:val="00083047"/>
    <w:rsid w:val="000869D6"/>
    <w:rsid w:val="00096A47"/>
    <w:rsid w:val="00097C78"/>
    <w:rsid w:val="000A309D"/>
    <w:rsid w:val="000B186F"/>
    <w:rsid w:val="000B2BBF"/>
    <w:rsid w:val="000B74F8"/>
    <w:rsid w:val="000C43F4"/>
    <w:rsid w:val="000C51B8"/>
    <w:rsid w:val="000C5410"/>
    <w:rsid w:val="000D1383"/>
    <w:rsid w:val="000D27FB"/>
    <w:rsid w:val="000D3DA1"/>
    <w:rsid w:val="000D5D40"/>
    <w:rsid w:val="000D69FE"/>
    <w:rsid w:val="000E2490"/>
    <w:rsid w:val="000E4387"/>
    <w:rsid w:val="000F25AE"/>
    <w:rsid w:val="000F5180"/>
    <w:rsid w:val="000F7C7B"/>
    <w:rsid w:val="00106239"/>
    <w:rsid w:val="00114157"/>
    <w:rsid w:val="00114B61"/>
    <w:rsid w:val="00122866"/>
    <w:rsid w:val="00125162"/>
    <w:rsid w:val="001312CD"/>
    <w:rsid w:val="001334B4"/>
    <w:rsid w:val="001372F1"/>
    <w:rsid w:val="001429E5"/>
    <w:rsid w:val="001435F9"/>
    <w:rsid w:val="001465F2"/>
    <w:rsid w:val="00156E23"/>
    <w:rsid w:val="00160853"/>
    <w:rsid w:val="00163170"/>
    <w:rsid w:val="00164682"/>
    <w:rsid w:val="00165C5B"/>
    <w:rsid w:val="00165F67"/>
    <w:rsid w:val="00171435"/>
    <w:rsid w:val="00171F7F"/>
    <w:rsid w:val="00173314"/>
    <w:rsid w:val="001827BC"/>
    <w:rsid w:val="00187F58"/>
    <w:rsid w:val="00191B3B"/>
    <w:rsid w:val="00192947"/>
    <w:rsid w:val="00192B6D"/>
    <w:rsid w:val="001A01E2"/>
    <w:rsid w:val="001A76FE"/>
    <w:rsid w:val="001C2975"/>
    <w:rsid w:val="001C317A"/>
    <w:rsid w:val="001D42CD"/>
    <w:rsid w:val="001D62F4"/>
    <w:rsid w:val="001D6657"/>
    <w:rsid w:val="001E3FF9"/>
    <w:rsid w:val="001E5BDA"/>
    <w:rsid w:val="001E5D58"/>
    <w:rsid w:val="00203255"/>
    <w:rsid w:val="0022013B"/>
    <w:rsid w:val="00241EB6"/>
    <w:rsid w:val="00250780"/>
    <w:rsid w:val="00260A87"/>
    <w:rsid w:val="0026533C"/>
    <w:rsid w:val="002737F7"/>
    <w:rsid w:val="002764E1"/>
    <w:rsid w:val="00276993"/>
    <w:rsid w:val="00291BAB"/>
    <w:rsid w:val="0029470A"/>
    <w:rsid w:val="00295298"/>
    <w:rsid w:val="00295F3A"/>
    <w:rsid w:val="002B172E"/>
    <w:rsid w:val="002B1EF6"/>
    <w:rsid w:val="002D45B2"/>
    <w:rsid w:val="002E17A9"/>
    <w:rsid w:val="002F200C"/>
    <w:rsid w:val="00305D2A"/>
    <w:rsid w:val="00312C2B"/>
    <w:rsid w:val="0031762F"/>
    <w:rsid w:val="003340D8"/>
    <w:rsid w:val="00334B7B"/>
    <w:rsid w:val="00334E00"/>
    <w:rsid w:val="00345CD4"/>
    <w:rsid w:val="00353D06"/>
    <w:rsid w:val="00367DD8"/>
    <w:rsid w:val="00370F22"/>
    <w:rsid w:val="00376D39"/>
    <w:rsid w:val="00395691"/>
    <w:rsid w:val="003A575B"/>
    <w:rsid w:val="003B0239"/>
    <w:rsid w:val="003B027A"/>
    <w:rsid w:val="003B1C62"/>
    <w:rsid w:val="003C5766"/>
    <w:rsid w:val="003D1705"/>
    <w:rsid w:val="003D2B4D"/>
    <w:rsid w:val="003E047B"/>
    <w:rsid w:val="003E5212"/>
    <w:rsid w:val="003F0566"/>
    <w:rsid w:val="003F5A46"/>
    <w:rsid w:val="003F7D93"/>
    <w:rsid w:val="004071A9"/>
    <w:rsid w:val="00413A2F"/>
    <w:rsid w:val="00416324"/>
    <w:rsid w:val="00452B31"/>
    <w:rsid w:val="0045316A"/>
    <w:rsid w:val="00456F43"/>
    <w:rsid w:val="00460E90"/>
    <w:rsid w:val="00462F5E"/>
    <w:rsid w:val="00480B35"/>
    <w:rsid w:val="00485A41"/>
    <w:rsid w:val="004959D7"/>
    <w:rsid w:val="004A4B61"/>
    <w:rsid w:val="004B3363"/>
    <w:rsid w:val="004B3683"/>
    <w:rsid w:val="004B6157"/>
    <w:rsid w:val="004B748D"/>
    <w:rsid w:val="004C1DD8"/>
    <w:rsid w:val="004C4633"/>
    <w:rsid w:val="004C4CD3"/>
    <w:rsid w:val="004C5522"/>
    <w:rsid w:val="004E2AB6"/>
    <w:rsid w:val="004E7060"/>
    <w:rsid w:val="004F0E46"/>
    <w:rsid w:val="004F181E"/>
    <w:rsid w:val="004F2384"/>
    <w:rsid w:val="004F5675"/>
    <w:rsid w:val="0050239C"/>
    <w:rsid w:val="005050CE"/>
    <w:rsid w:val="00507CE9"/>
    <w:rsid w:val="00515EA4"/>
    <w:rsid w:val="00526FA1"/>
    <w:rsid w:val="00530B34"/>
    <w:rsid w:val="00533FC3"/>
    <w:rsid w:val="00552735"/>
    <w:rsid w:val="00553AE5"/>
    <w:rsid w:val="005637D7"/>
    <w:rsid w:val="00564B1C"/>
    <w:rsid w:val="00566FD7"/>
    <w:rsid w:val="005819BE"/>
    <w:rsid w:val="005858F6"/>
    <w:rsid w:val="00590E37"/>
    <w:rsid w:val="00597A21"/>
    <w:rsid w:val="005A5171"/>
    <w:rsid w:val="005A521A"/>
    <w:rsid w:val="005A5B47"/>
    <w:rsid w:val="005B78A5"/>
    <w:rsid w:val="005C05A7"/>
    <w:rsid w:val="005D0256"/>
    <w:rsid w:val="005F0FAF"/>
    <w:rsid w:val="00604B2D"/>
    <w:rsid w:val="00613240"/>
    <w:rsid w:val="00624D6B"/>
    <w:rsid w:val="0063125D"/>
    <w:rsid w:val="006317F0"/>
    <w:rsid w:val="00633BA1"/>
    <w:rsid w:val="00646519"/>
    <w:rsid w:val="006513B4"/>
    <w:rsid w:val="00654F65"/>
    <w:rsid w:val="0065760F"/>
    <w:rsid w:val="00660639"/>
    <w:rsid w:val="00663890"/>
    <w:rsid w:val="00667994"/>
    <w:rsid w:val="00667B63"/>
    <w:rsid w:val="006767ED"/>
    <w:rsid w:val="006914C6"/>
    <w:rsid w:val="006A1418"/>
    <w:rsid w:val="006A5084"/>
    <w:rsid w:val="006B4F1E"/>
    <w:rsid w:val="006C780F"/>
    <w:rsid w:val="006D0770"/>
    <w:rsid w:val="006D0A42"/>
    <w:rsid w:val="006D6730"/>
    <w:rsid w:val="006D6C79"/>
    <w:rsid w:val="006D797D"/>
    <w:rsid w:val="006E4FED"/>
    <w:rsid w:val="006F3236"/>
    <w:rsid w:val="006F5001"/>
    <w:rsid w:val="006F64F0"/>
    <w:rsid w:val="0070228D"/>
    <w:rsid w:val="00704A64"/>
    <w:rsid w:val="007127EF"/>
    <w:rsid w:val="00720BFC"/>
    <w:rsid w:val="0072476E"/>
    <w:rsid w:val="007260B0"/>
    <w:rsid w:val="0073503E"/>
    <w:rsid w:val="00740D0D"/>
    <w:rsid w:val="00745A3C"/>
    <w:rsid w:val="0075790C"/>
    <w:rsid w:val="007613E9"/>
    <w:rsid w:val="007661DB"/>
    <w:rsid w:val="007726B7"/>
    <w:rsid w:val="007778A7"/>
    <w:rsid w:val="007855AF"/>
    <w:rsid w:val="007960E0"/>
    <w:rsid w:val="007A0116"/>
    <w:rsid w:val="007B0DC5"/>
    <w:rsid w:val="007B175F"/>
    <w:rsid w:val="007B7E81"/>
    <w:rsid w:val="007F2160"/>
    <w:rsid w:val="007F3A2A"/>
    <w:rsid w:val="00801659"/>
    <w:rsid w:val="00804801"/>
    <w:rsid w:val="00806459"/>
    <w:rsid w:val="00813CFD"/>
    <w:rsid w:val="0081691C"/>
    <w:rsid w:val="00821463"/>
    <w:rsid w:val="00831FA4"/>
    <w:rsid w:val="008363A9"/>
    <w:rsid w:val="008519FB"/>
    <w:rsid w:val="008618F5"/>
    <w:rsid w:val="00865606"/>
    <w:rsid w:val="00866EAD"/>
    <w:rsid w:val="00866F12"/>
    <w:rsid w:val="00874F57"/>
    <w:rsid w:val="0088475A"/>
    <w:rsid w:val="00884F87"/>
    <w:rsid w:val="00890E21"/>
    <w:rsid w:val="008A2FD6"/>
    <w:rsid w:val="008A784A"/>
    <w:rsid w:val="008B2410"/>
    <w:rsid w:val="008D3D47"/>
    <w:rsid w:val="008D7980"/>
    <w:rsid w:val="008E0DB0"/>
    <w:rsid w:val="008E1326"/>
    <w:rsid w:val="008E4026"/>
    <w:rsid w:val="008F31B8"/>
    <w:rsid w:val="008F35DC"/>
    <w:rsid w:val="008F38F4"/>
    <w:rsid w:val="008F4166"/>
    <w:rsid w:val="008F7784"/>
    <w:rsid w:val="00903E23"/>
    <w:rsid w:val="009060C8"/>
    <w:rsid w:val="00907969"/>
    <w:rsid w:val="00916612"/>
    <w:rsid w:val="00921F97"/>
    <w:rsid w:val="009237F3"/>
    <w:rsid w:val="0092533D"/>
    <w:rsid w:val="0092788E"/>
    <w:rsid w:val="00927F4D"/>
    <w:rsid w:val="00943455"/>
    <w:rsid w:val="00943967"/>
    <w:rsid w:val="00962543"/>
    <w:rsid w:val="009778BB"/>
    <w:rsid w:val="00981C6C"/>
    <w:rsid w:val="00983E20"/>
    <w:rsid w:val="009948D7"/>
    <w:rsid w:val="009A2E0B"/>
    <w:rsid w:val="009A38FD"/>
    <w:rsid w:val="009B2600"/>
    <w:rsid w:val="009B748C"/>
    <w:rsid w:val="009C0DCA"/>
    <w:rsid w:val="009C5909"/>
    <w:rsid w:val="009D6D54"/>
    <w:rsid w:val="009F2B24"/>
    <w:rsid w:val="009F7F67"/>
    <w:rsid w:val="00A016D3"/>
    <w:rsid w:val="00A031D3"/>
    <w:rsid w:val="00A06789"/>
    <w:rsid w:val="00A13022"/>
    <w:rsid w:val="00A218EA"/>
    <w:rsid w:val="00A41AFC"/>
    <w:rsid w:val="00A52E15"/>
    <w:rsid w:val="00A6004D"/>
    <w:rsid w:val="00A60508"/>
    <w:rsid w:val="00A75244"/>
    <w:rsid w:val="00A76408"/>
    <w:rsid w:val="00A82C67"/>
    <w:rsid w:val="00A94968"/>
    <w:rsid w:val="00AA3480"/>
    <w:rsid w:val="00AA50AB"/>
    <w:rsid w:val="00AA7E87"/>
    <w:rsid w:val="00AB335A"/>
    <w:rsid w:val="00AB5C13"/>
    <w:rsid w:val="00AB78AB"/>
    <w:rsid w:val="00AC7EE6"/>
    <w:rsid w:val="00AD3CE0"/>
    <w:rsid w:val="00AD613A"/>
    <w:rsid w:val="00AD6F5D"/>
    <w:rsid w:val="00AE3A4C"/>
    <w:rsid w:val="00AE51DF"/>
    <w:rsid w:val="00AE5FC1"/>
    <w:rsid w:val="00AE7C84"/>
    <w:rsid w:val="00AF05A2"/>
    <w:rsid w:val="00B04D53"/>
    <w:rsid w:val="00B124F1"/>
    <w:rsid w:val="00B12AB7"/>
    <w:rsid w:val="00B15D26"/>
    <w:rsid w:val="00B17200"/>
    <w:rsid w:val="00B17752"/>
    <w:rsid w:val="00B253CF"/>
    <w:rsid w:val="00B31853"/>
    <w:rsid w:val="00B3377A"/>
    <w:rsid w:val="00B5305D"/>
    <w:rsid w:val="00B53DC6"/>
    <w:rsid w:val="00B60A79"/>
    <w:rsid w:val="00B617B2"/>
    <w:rsid w:val="00B624F9"/>
    <w:rsid w:val="00B66797"/>
    <w:rsid w:val="00B75E75"/>
    <w:rsid w:val="00B76DEE"/>
    <w:rsid w:val="00B81D0D"/>
    <w:rsid w:val="00B846D8"/>
    <w:rsid w:val="00B858E4"/>
    <w:rsid w:val="00B866CF"/>
    <w:rsid w:val="00B903AD"/>
    <w:rsid w:val="00BA26D6"/>
    <w:rsid w:val="00BB4F9C"/>
    <w:rsid w:val="00BB57BE"/>
    <w:rsid w:val="00BC1365"/>
    <w:rsid w:val="00BC57DD"/>
    <w:rsid w:val="00BD2021"/>
    <w:rsid w:val="00BD2B58"/>
    <w:rsid w:val="00BD3347"/>
    <w:rsid w:val="00BD4624"/>
    <w:rsid w:val="00BD4C9C"/>
    <w:rsid w:val="00BD58A1"/>
    <w:rsid w:val="00BE48F4"/>
    <w:rsid w:val="00BE782A"/>
    <w:rsid w:val="00C029E8"/>
    <w:rsid w:val="00C04D95"/>
    <w:rsid w:val="00C16A44"/>
    <w:rsid w:val="00C1719F"/>
    <w:rsid w:val="00C1758B"/>
    <w:rsid w:val="00C2350D"/>
    <w:rsid w:val="00C23708"/>
    <w:rsid w:val="00C340B3"/>
    <w:rsid w:val="00C34803"/>
    <w:rsid w:val="00C3541D"/>
    <w:rsid w:val="00C364F1"/>
    <w:rsid w:val="00C420FB"/>
    <w:rsid w:val="00C435F9"/>
    <w:rsid w:val="00C46EF9"/>
    <w:rsid w:val="00C51B59"/>
    <w:rsid w:val="00C5376B"/>
    <w:rsid w:val="00C5423A"/>
    <w:rsid w:val="00C63725"/>
    <w:rsid w:val="00C71D46"/>
    <w:rsid w:val="00C77A4B"/>
    <w:rsid w:val="00C80E9A"/>
    <w:rsid w:val="00C93388"/>
    <w:rsid w:val="00C94251"/>
    <w:rsid w:val="00CA09E0"/>
    <w:rsid w:val="00CA42AC"/>
    <w:rsid w:val="00CC60DD"/>
    <w:rsid w:val="00CD6E2B"/>
    <w:rsid w:val="00CE1AE4"/>
    <w:rsid w:val="00CF35F9"/>
    <w:rsid w:val="00CF4425"/>
    <w:rsid w:val="00D22BBE"/>
    <w:rsid w:val="00D234C2"/>
    <w:rsid w:val="00D30894"/>
    <w:rsid w:val="00D30E64"/>
    <w:rsid w:val="00D31D94"/>
    <w:rsid w:val="00D31FA6"/>
    <w:rsid w:val="00D34090"/>
    <w:rsid w:val="00D35454"/>
    <w:rsid w:val="00D41151"/>
    <w:rsid w:val="00D546F7"/>
    <w:rsid w:val="00D61133"/>
    <w:rsid w:val="00D64362"/>
    <w:rsid w:val="00D97752"/>
    <w:rsid w:val="00DA6186"/>
    <w:rsid w:val="00DB676C"/>
    <w:rsid w:val="00DC0A6D"/>
    <w:rsid w:val="00DD42AC"/>
    <w:rsid w:val="00DD4B04"/>
    <w:rsid w:val="00DD51F9"/>
    <w:rsid w:val="00DE563E"/>
    <w:rsid w:val="00DF001C"/>
    <w:rsid w:val="00DF1379"/>
    <w:rsid w:val="00DF66AD"/>
    <w:rsid w:val="00E06736"/>
    <w:rsid w:val="00E06BE1"/>
    <w:rsid w:val="00E20ABC"/>
    <w:rsid w:val="00E279F5"/>
    <w:rsid w:val="00E34111"/>
    <w:rsid w:val="00E3747E"/>
    <w:rsid w:val="00E400FE"/>
    <w:rsid w:val="00E40188"/>
    <w:rsid w:val="00E40A9E"/>
    <w:rsid w:val="00E42652"/>
    <w:rsid w:val="00E52873"/>
    <w:rsid w:val="00E65287"/>
    <w:rsid w:val="00E662DB"/>
    <w:rsid w:val="00E750CD"/>
    <w:rsid w:val="00E80006"/>
    <w:rsid w:val="00E804EF"/>
    <w:rsid w:val="00E80A50"/>
    <w:rsid w:val="00E81332"/>
    <w:rsid w:val="00E84D24"/>
    <w:rsid w:val="00E857D7"/>
    <w:rsid w:val="00E954B6"/>
    <w:rsid w:val="00EA64AA"/>
    <w:rsid w:val="00EA6A93"/>
    <w:rsid w:val="00EA6D4A"/>
    <w:rsid w:val="00EB589C"/>
    <w:rsid w:val="00EC5C6F"/>
    <w:rsid w:val="00EC79BA"/>
    <w:rsid w:val="00ED12EC"/>
    <w:rsid w:val="00ED5017"/>
    <w:rsid w:val="00EF22BD"/>
    <w:rsid w:val="00EF32C7"/>
    <w:rsid w:val="00F15BFC"/>
    <w:rsid w:val="00F22A91"/>
    <w:rsid w:val="00F25687"/>
    <w:rsid w:val="00F5389A"/>
    <w:rsid w:val="00F6214D"/>
    <w:rsid w:val="00F706D5"/>
    <w:rsid w:val="00F819E6"/>
    <w:rsid w:val="00F91C5B"/>
    <w:rsid w:val="00F946FC"/>
    <w:rsid w:val="00F94A4D"/>
    <w:rsid w:val="00F96F39"/>
    <w:rsid w:val="00FA5367"/>
    <w:rsid w:val="00FA71AA"/>
    <w:rsid w:val="00FC39F1"/>
    <w:rsid w:val="00FE2E42"/>
    <w:rsid w:val="00FE3F6C"/>
    <w:rsid w:val="00FE6E38"/>
    <w:rsid w:val="00FE7012"/>
    <w:rsid w:val="01487E41"/>
    <w:rsid w:val="02CA8C11"/>
    <w:rsid w:val="02FD6628"/>
    <w:rsid w:val="03619D4D"/>
    <w:rsid w:val="059D26EE"/>
    <w:rsid w:val="09147055"/>
    <w:rsid w:val="093D69FA"/>
    <w:rsid w:val="0A9D5BAC"/>
    <w:rsid w:val="0CB4198C"/>
    <w:rsid w:val="0D455769"/>
    <w:rsid w:val="0F790F54"/>
    <w:rsid w:val="104A7531"/>
    <w:rsid w:val="119E0C66"/>
    <w:rsid w:val="128D16FD"/>
    <w:rsid w:val="12BE2B49"/>
    <w:rsid w:val="1359DC5A"/>
    <w:rsid w:val="148F48FF"/>
    <w:rsid w:val="15B73732"/>
    <w:rsid w:val="15F72F89"/>
    <w:rsid w:val="17B25E67"/>
    <w:rsid w:val="1BB90B23"/>
    <w:rsid w:val="1BD01FF7"/>
    <w:rsid w:val="1BD4CF3E"/>
    <w:rsid w:val="1BFD8531"/>
    <w:rsid w:val="1C0CD667"/>
    <w:rsid w:val="1CDBAA1B"/>
    <w:rsid w:val="1D863AF1"/>
    <w:rsid w:val="1ED8F41B"/>
    <w:rsid w:val="1FCE6448"/>
    <w:rsid w:val="20BCE41E"/>
    <w:rsid w:val="216CCB45"/>
    <w:rsid w:val="21F05646"/>
    <w:rsid w:val="22B7E882"/>
    <w:rsid w:val="24097700"/>
    <w:rsid w:val="247CD6A3"/>
    <w:rsid w:val="24E3657E"/>
    <w:rsid w:val="2562F4EB"/>
    <w:rsid w:val="2573CDCA"/>
    <w:rsid w:val="26386BF3"/>
    <w:rsid w:val="2681AA98"/>
    <w:rsid w:val="2A625650"/>
    <w:rsid w:val="2E9B5565"/>
    <w:rsid w:val="2F297608"/>
    <w:rsid w:val="2F80525C"/>
    <w:rsid w:val="30593329"/>
    <w:rsid w:val="30B9310B"/>
    <w:rsid w:val="30F0800A"/>
    <w:rsid w:val="33FCE9DB"/>
    <w:rsid w:val="3406584E"/>
    <w:rsid w:val="34C5F4A1"/>
    <w:rsid w:val="36A95018"/>
    <w:rsid w:val="3BB13FE7"/>
    <w:rsid w:val="3D04E96E"/>
    <w:rsid w:val="3D877C5A"/>
    <w:rsid w:val="3DF56DA1"/>
    <w:rsid w:val="3EE4C6C2"/>
    <w:rsid w:val="4008B23D"/>
    <w:rsid w:val="405A22C1"/>
    <w:rsid w:val="411B4D64"/>
    <w:rsid w:val="431FD71C"/>
    <w:rsid w:val="477D39A1"/>
    <w:rsid w:val="481A9BBE"/>
    <w:rsid w:val="48ADCBD9"/>
    <w:rsid w:val="4BC7362E"/>
    <w:rsid w:val="4C6BE544"/>
    <w:rsid w:val="4C8892A5"/>
    <w:rsid w:val="539E953B"/>
    <w:rsid w:val="55351F44"/>
    <w:rsid w:val="56B32FBD"/>
    <w:rsid w:val="56F1A1B8"/>
    <w:rsid w:val="5A480B4C"/>
    <w:rsid w:val="5AC9A5EC"/>
    <w:rsid w:val="5DA3112A"/>
    <w:rsid w:val="5F7A8BC2"/>
    <w:rsid w:val="60AF0597"/>
    <w:rsid w:val="615A1FCE"/>
    <w:rsid w:val="64572E75"/>
    <w:rsid w:val="64D8870F"/>
    <w:rsid w:val="6813CEAF"/>
    <w:rsid w:val="6D7DBD0E"/>
    <w:rsid w:val="6E0F2291"/>
    <w:rsid w:val="6F8D47AF"/>
    <w:rsid w:val="6F94C08A"/>
    <w:rsid w:val="6FA07B32"/>
    <w:rsid w:val="725D4A82"/>
    <w:rsid w:val="737D3DFE"/>
    <w:rsid w:val="7406D4C1"/>
    <w:rsid w:val="746F8280"/>
    <w:rsid w:val="74E15DD8"/>
    <w:rsid w:val="752266E1"/>
    <w:rsid w:val="7548B75E"/>
    <w:rsid w:val="7554ACEB"/>
    <w:rsid w:val="76B391FB"/>
    <w:rsid w:val="76C28F02"/>
    <w:rsid w:val="789ACE05"/>
    <w:rsid w:val="78CF5D9D"/>
    <w:rsid w:val="7A6931EE"/>
    <w:rsid w:val="7B6BB140"/>
    <w:rsid w:val="7C57F007"/>
    <w:rsid w:val="7E8FC852"/>
    <w:rsid w:val="7EE3B875"/>
    <w:rsid w:val="7F370E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DD982"/>
  <w15:chartTrackingRefBased/>
  <w15:docId w15:val="{74815169-A208-4CAE-B8CA-53E9AF5B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180"/>
  </w:style>
  <w:style w:type="paragraph" w:styleId="Heading1">
    <w:name w:val="heading 1"/>
    <w:basedOn w:val="Normal"/>
    <w:next w:val="Normal"/>
    <w:link w:val="Heading1Char"/>
    <w:uiPriority w:val="9"/>
    <w:qFormat/>
    <w:rsid w:val="00F621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576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948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76DEE"/>
    <w:rPr>
      <w:sz w:val="16"/>
      <w:szCs w:val="16"/>
    </w:rPr>
  </w:style>
  <w:style w:type="paragraph" w:styleId="CommentText">
    <w:name w:val="annotation text"/>
    <w:basedOn w:val="Normal"/>
    <w:link w:val="CommentTextChar"/>
    <w:uiPriority w:val="99"/>
    <w:unhideWhenUsed/>
    <w:rsid w:val="00B76DEE"/>
    <w:pPr>
      <w:spacing w:line="240" w:lineRule="auto"/>
    </w:pPr>
    <w:rPr>
      <w:sz w:val="20"/>
      <w:szCs w:val="20"/>
    </w:rPr>
  </w:style>
  <w:style w:type="character" w:customStyle="1" w:styleId="CommentTextChar">
    <w:name w:val="Comment Text Char"/>
    <w:basedOn w:val="DefaultParagraphFont"/>
    <w:link w:val="CommentText"/>
    <w:uiPriority w:val="99"/>
    <w:rsid w:val="00B76DEE"/>
    <w:rPr>
      <w:sz w:val="20"/>
      <w:szCs w:val="20"/>
    </w:rPr>
  </w:style>
  <w:style w:type="paragraph" w:customStyle="1" w:styleId="HRBBulletTextL1-6">
    <w:name w:val="HRB_Bullet Text_L1-6"/>
    <w:basedOn w:val="Normal"/>
    <w:link w:val="HRBBulletTextL1-6Char"/>
    <w:uiPriority w:val="16"/>
    <w:qFormat/>
    <w:locked/>
    <w:rsid w:val="00B76DEE"/>
    <w:pPr>
      <w:numPr>
        <w:numId w:val="1"/>
      </w:numPr>
      <w:spacing w:after="120" w:line="276" w:lineRule="auto"/>
    </w:pPr>
    <w:rPr>
      <w:rFonts w:ascii="Calibri" w:hAnsi="Calibri"/>
      <w:lang w:val="en-IE"/>
    </w:rPr>
  </w:style>
  <w:style w:type="character" w:customStyle="1" w:styleId="HRBBulletTextL1-6Char">
    <w:name w:val="HRB_Bullet Text_L1-6 Char"/>
    <w:basedOn w:val="DefaultParagraphFont"/>
    <w:link w:val="HRBBulletTextL1-6"/>
    <w:uiPriority w:val="16"/>
    <w:rsid w:val="00B76DEE"/>
    <w:rPr>
      <w:rFonts w:ascii="Calibri" w:hAnsi="Calibri"/>
      <w:lang w:val="en-IE"/>
    </w:rPr>
  </w:style>
  <w:style w:type="paragraph" w:styleId="ListParagraph">
    <w:name w:val="List Paragraph"/>
    <w:basedOn w:val="Normal"/>
    <w:uiPriority w:val="34"/>
    <w:qFormat/>
    <w:rsid w:val="00B76DEE"/>
    <w:pPr>
      <w:ind w:left="720"/>
      <w:contextualSpacing/>
    </w:pPr>
  </w:style>
  <w:style w:type="paragraph" w:styleId="CommentSubject">
    <w:name w:val="annotation subject"/>
    <w:basedOn w:val="CommentText"/>
    <w:next w:val="CommentText"/>
    <w:link w:val="CommentSubjectChar"/>
    <w:uiPriority w:val="99"/>
    <w:semiHidden/>
    <w:unhideWhenUsed/>
    <w:rsid w:val="00BC1365"/>
    <w:rPr>
      <w:b/>
      <w:bCs/>
    </w:rPr>
  </w:style>
  <w:style w:type="character" w:customStyle="1" w:styleId="CommentSubjectChar">
    <w:name w:val="Comment Subject Char"/>
    <w:basedOn w:val="CommentTextChar"/>
    <w:link w:val="CommentSubject"/>
    <w:uiPriority w:val="99"/>
    <w:semiHidden/>
    <w:rsid w:val="00BC1365"/>
    <w:rPr>
      <w:b/>
      <w:bCs/>
      <w:sz w:val="20"/>
      <w:szCs w:val="20"/>
    </w:rPr>
  </w:style>
  <w:style w:type="paragraph" w:styleId="Revision">
    <w:name w:val="Revision"/>
    <w:hidden/>
    <w:uiPriority w:val="99"/>
    <w:semiHidden/>
    <w:rsid w:val="004C1DD8"/>
    <w:pPr>
      <w:spacing w:after="0" w:line="240" w:lineRule="auto"/>
    </w:pPr>
  </w:style>
  <w:style w:type="character" w:styleId="Hyperlink">
    <w:name w:val="Hyperlink"/>
    <w:basedOn w:val="DefaultParagraphFont"/>
    <w:uiPriority w:val="99"/>
    <w:unhideWhenUsed/>
    <w:rsid w:val="0045316A"/>
    <w:rPr>
      <w:color w:val="0563C1" w:themeColor="hyperlink"/>
      <w:u w:val="single"/>
    </w:rPr>
  </w:style>
  <w:style w:type="character" w:styleId="UnresolvedMention">
    <w:name w:val="Unresolved Mention"/>
    <w:basedOn w:val="DefaultParagraphFont"/>
    <w:uiPriority w:val="99"/>
    <w:semiHidden/>
    <w:unhideWhenUsed/>
    <w:rsid w:val="0045316A"/>
    <w:rPr>
      <w:color w:val="605E5C"/>
      <w:shd w:val="clear" w:color="auto" w:fill="E1DFDD"/>
    </w:rPr>
  </w:style>
  <w:style w:type="paragraph" w:customStyle="1" w:styleId="HRBNumberBulletTextL1-6">
    <w:name w:val="HRB_Number + Bullet Text_L1-6"/>
    <w:basedOn w:val="Normal"/>
    <w:uiPriority w:val="15"/>
    <w:qFormat/>
    <w:rsid w:val="007661DB"/>
    <w:pPr>
      <w:numPr>
        <w:numId w:val="10"/>
      </w:numPr>
      <w:spacing w:after="120" w:line="276" w:lineRule="auto"/>
    </w:pPr>
    <w:rPr>
      <w:rFonts w:ascii="Calibri" w:hAnsi="Calibri"/>
      <w:lang w:val="en-IE"/>
    </w:rPr>
  </w:style>
  <w:style w:type="character" w:styleId="Mention">
    <w:name w:val="Mention"/>
    <w:basedOn w:val="DefaultParagraphFont"/>
    <w:uiPriority w:val="99"/>
    <w:unhideWhenUsed/>
    <w:rsid w:val="00526FA1"/>
    <w:rPr>
      <w:color w:val="2B579A"/>
      <w:shd w:val="clear" w:color="auto" w:fill="E1DFDD"/>
    </w:rPr>
  </w:style>
  <w:style w:type="paragraph" w:customStyle="1" w:styleId="HRBGeneralText">
    <w:name w:val="HRB_General Text"/>
    <w:basedOn w:val="Normal"/>
    <w:uiPriority w:val="15"/>
    <w:qFormat/>
    <w:locked/>
    <w:rsid w:val="00B866CF"/>
    <w:pPr>
      <w:spacing w:after="120" w:line="276" w:lineRule="auto"/>
    </w:pPr>
    <w:rPr>
      <w:rFonts w:ascii="Calibri" w:hAnsi="Calibri"/>
      <w:lang w:val="en-IE"/>
    </w:rPr>
  </w:style>
  <w:style w:type="paragraph" w:customStyle="1" w:styleId="HRBTextinTableBlack">
    <w:name w:val="HRB_Text in Table_Black"/>
    <w:basedOn w:val="Normal"/>
    <w:uiPriority w:val="15"/>
    <w:qFormat/>
    <w:locked/>
    <w:rsid w:val="00BB4F9C"/>
    <w:pPr>
      <w:spacing w:after="0" w:line="276" w:lineRule="auto"/>
    </w:pPr>
    <w:rPr>
      <w:rFonts w:ascii="Calibri" w:hAnsi="Calibri"/>
      <w:lang w:val="en-IE"/>
    </w:rPr>
  </w:style>
  <w:style w:type="character" w:customStyle="1" w:styleId="Heading1Char">
    <w:name w:val="Heading 1 Char"/>
    <w:basedOn w:val="DefaultParagraphFont"/>
    <w:link w:val="Heading1"/>
    <w:uiPriority w:val="9"/>
    <w:rsid w:val="00F6214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5760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948D7"/>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DF13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379"/>
  </w:style>
  <w:style w:type="paragraph" w:styleId="Footer">
    <w:name w:val="footer"/>
    <w:basedOn w:val="Normal"/>
    <w:link w:val="FooterChar"/>
    <w:uiPriority w:val="99"/>
    <w:unhideWhenUsed/>
    <w:rsid w:val="00DF13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37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121470">
      <w:bodyDiv w:val="1"/>
      <w:marLeft w:val="0"/>
      <w:marRight w:val="0"/>
      <w:marTop w:val="0"/>
      <w:marBottom w:val="0"/>
      <w:divBdr>
        <w:top w:val="none" w:sz="0" w:space="0" w:color="auto"/>
        <w:left w:val="none" w:sz="0" w:space="0" w:color="auto"/>
        <w:bottom w:val="none" w:sz="0" w:space="0" w:color="auto"/>
        <w:right w:val="none" w:sz="0" w:space="0" w:color="auto"/>
      </w:divBdr>
    </w:div>
    <w:div w:id="565916745">
      <w:bodyDiv w:val="1"/>
      <w:marLeft w:val="0"/>
      <w:marRight w:val="0"/>
      <w:marTop w:val="0"/>
      <w:marBottom w:val="0"/>
      <w:divBdr>
        <w:top w:val="none" w:sz="0" w:space="0" w:color="auto"/>
        <w:left w:val="none" w:sz="0" w:space="0" w:color="auto"/>
        <w:bottom w:val="none" w:sz="0" w:space="0" w:color="auto"/>
        <w:right w:val="none" w:sz="0" w:space="0" w:color="auto"/>
      </w:divBdr>
    </w:div>
    <w:div w:id="651904874">
      <w:bodyDiv w:val="1"/>
      <w:marLeft w:val="0"/>
      <w:marRight w:val="0"/>
      <w:marTop w:val="0"/>
      <w:marBottom w:val="0"/>
      <w:divBdr>
        <w:top w:val="none" w:sz="0" w:space="0" w:color="auto"/>
        <w:left w:val="none" w:sz="0" w:space="0" w:color="auto"/>
        <w:bottom w:val="none" w:sz="0" w:space="0" w:color="auto"/>
        <w:right w:val="none" w:sz="0" w:space="0" w:color="auto"/>
      </w:divBdr>
    </w:div>
    <w:div w:id="827942223">
      <w:bodyDiv w:val="1"/>
      <w:marLeft w:val="0"/>
      <w:marRight w:val="0"/>
      <w:marTop w:val="0"/>
      <w:marBottom w:val="0"/>
      <w:divBdr>
        <w:top w:val="none" w:sz="0" w:space="0" w:color="auto"/>
        <w:left w:val="none" w:sz="0" w:space="0" w:color="auto"/>
        <w:bottom w:val="none" w:sz="0" w:space="0" w:color="auto"/>
        <w:right w:val="none" w:sz="0" w:space="0" w:color="auto"/>
      </w:divBdr>
    </w:div>
    <w:div w:id="1094941595">
      <w:bodyDiv w:val="1"/>
      <w:marLeft w:val="0"/>
      <w:marRight w:val="0"/>
      <w:marTop w:val="0"/>
      <w:marBottom w:val="0"/>
      <w:divBdr>
        <w:top w:val="none" w:sz="0" w:space="0" w:color="auto"/>
        <w:left w:val="none" w:sz="0" w:space="0" w:color="auto"/>
        <w:bottom w:val="none" w:sz="0" w:space="0" w:color="auto"/>
        <w:right w:val="none" w:sz="0" w:space="0" w:color="auto"/>
      </w:divBdr>
    </w:div>
    <w:div w:id="1269001466">
      <w:bodyDiv w:val="1"/>
      <w:marLeft w:val="0"/>
      <w:marRight w:val="0"/>
      <w:marTop w:val="0"/>
      <w:marBottom w:val="0"/>
      <w:divBdr>
        <w:top w:val="none" w:sz="0" w:space="0" w:color="auto"/>
        <w:left w:val="none" w:sz="0" w:space="0" w:color="auto"/>
        <w:bottom w:val="none" w:sz="0" w:space="0" w:color="auto"/>
        <w:right w:val="none" w:sz="0" w:space="0" w:color="auto"/>
      </w:divBdr>
    </w:div>
    <w:div w:id="1423916673">
      <w:bodyDiv w:val="1"/>
      <w:marLeft w:val="0"/>
      <w:marRight w:val="0"/>
      <w:marTop w:val="0"/>
      <w:marBottom w:val="0"/>
      <w:divBdr>
        <w:top w:val="none" w:sz="0" w:space="0" w:color="auto"/>
        <w:left w:val="none" w:sz="0" w:space="0" w:color="auto"/>
        <w:bottom w:val="none" w:sz="0" w:space="0" w:color="auto"/>
        <w:right w:val="none" w:sz="0" w:space="0" w:color="auto"/>
      </w:divBdr>
    </w:div>
    <w:div w:id="1596017926">
      <w:bodyDiv w:val="1"/>
      <w:marLeft w:val="0"/>
      <w:marRight w:val="0"/>
      <w:marTop w:val="0"/>
      <w:marBottom w:val="0"/>
      <w:divBdr>
        <w:top w:val="none" w:sz="0" w:space="0" w:color="auto"/>
        <w:left w:val="none" w:sz="0" w:space="0" w:color="auto"/>
        <w:bottom w:val="none" w:sz="0" w:space="0" w:color="auto"/>
        <w:right w:val="none" w:sz="0" w:space="0" w:color="auto"/>
      </w:divBdr>
    </w:div>
    <w:div w:id="1630359166">
      <w:bodyDiv w:val="1"/>
      <w:marLeft w:val="0"/>
      <w:marRight w:val="0"/>
      <w:marTop w:val="0"/>
      <w:marBottom w:val="0"/>
      <w:divBdr>
        <w:top w:val="none" w:sz="0" w:space="0" w:color="auto"/>
        <w:left w:val="none" w:sz="0" w:space="0" w:color="auto"/>
        <w:bottom w:val="none" w:sz="0" w:space="0" w:color="auto"/>
        <w:right w:val="none" w:sz="0" w:space="0" w:color="auto"/>
      </w:divBdr>
    </w:div>
    <w:div w:id="1770272037">
      <w:bodyDiv w:val="1"/>
      <w:marLeft w:val="0"/>
      <w:marRight w:val="0"/>
      <w:marTop w:val="0"/>
      <w:marBottom w:val="0"/>
      <w:divBdr>
        <w:top w:val="none" w:sz="0" w:space="0" w:color="auto"/>
        <w:left w:val="none" w:sz="0" w:space="0" w:color="auto"/>
        <w:bottom w:val="none" w:sz="0" w:space="0" w:color="auto"/>
        <w:right w:val="none" w:sz="0" w:space="0" w:color="auto"/>
      </w:divBdr>
    </w:div>
    <w:div w:id="1877498182">
      <w:bodyDiv w:val="1"/>
      <w:marLeft w:val="0"/>
      <w:marRight w:val="0"/>
      <w:marTop w:val="0"/>
      <w:marBottom w:val="0"/>
      <w:divBdr>
        <w:top w:val="none" w:sz="0" w:space="0" w:color="auto"/>
        <w:left w:val="none" w:sz="0" w:space="0" w:color="auto"/>
        <w:bottom w:val="none" w:sz="0" w:space="0" w:color="auto"/>
        <w:right w:val="none" w:sz="0" w:space="0" w:color="auto"/>
      </w:divBdr>
    </w:div>
    <w:div w:id="2056152101">
      <w:bodyDiv w:val="1"/>
      <w:marLeft w:val="0"/>
      <w:marRight w:val="0"/>
      <w:marTop w:val="0"/>
      <w:marBottom w:val="0"/>
      <w:divBdr>
        <w:top w:val="none" w:sz="0" w:space="0" w:color="auto"/>
        <w:left w:val="none" w:sz="0" w:space="0" w:color="auto"/>
        <w:bottom w:val="none" w:sz="0" w:space="0" w:color="auto"/>
        <w:right w:val="none" w:sz="0" w:space="0" w:color="auto"/>
      </w:divBdr>
    </w:div>
    <w:div w:id="211709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roline.byrne1@uc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shea9@tcd.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ebutler@rcsi.i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carty@universityofgalway.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4ec55a-2caa-43de-bd10-479a76a398ea">
      <Terms xmlns="http://schemas.microsoft.com/office/infopath/2007/PartnerControls"/>
    </lcf76f155ced4ddcb4097134ff3c332f>
    <TaxCatchAll xmlns="1dec2fd3-6f58-46ab-a96e-e85cbcf7f32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39D53E903C1C4DA412BEC186BF9574" ma:contentTypeVersion="15" ma:contentTypeDescription="Create a new document." ma:contentTypeScope="" ma:versionID="6ed24e411ca7aed8bbb44777bf7ed370">
  <xsd:schema xmlns:xsd="http://www.w3.org/2001/XMLSchema" xmlns:xs="http://www.w3.org/2001/XMLSchema" xmlns:p="http://schemas.microsoft.com/office/2006/metadata/properties" xmlns:ns2="154ec55a-2caa-43de-bd10-479a76a398ea" xmlns:ns3="1dec2fd3-6f58-46ab-a96e-e85cbcf7f322" targetNamespace="http://schemas.microsoft.com/office/2006/metadata/properties" ma:root="true" ma:fieldsID="9d29cfd2a27f1e07a21cc111cb586ec7" ns2:_="" ns3:_="">
    <xsd:import namespace="154ec55a-2caa-43de-bd10-479a76a398ea"/>
    <xsd:import namespace="1dec2fd3-6f58-46ab-a96e-e85cbcf7f3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ec55a-2caa-43de-bd10-479a76a398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466ae4-4697-44c6-9f9a-3cb9cf09064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ec2fd3-6f58-46ab-a96e-e85cbcf7f32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662810f-d1f2-44a4-8daa-aa1f8d72df4a}" ma:internalName="TaxCatchAll" ma:showField="CatchAllData" ma:web="1dec2fd3-6f58-46ab-a96e-e85cbcf7f3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2E1A7-577E-4964-9E25-5C408B0B6A60}">
  <ds:schemaRefs>
    <ds:schemaRef ds:uri="http://schemas.microsoft.com/office/2006/metadata/properties"/>
    <ds:schemaRef ds:uri="http://schemas.microsoft.com/office/infopath/2007/PartnerControls"/>
    <ds:schemaRef ds:uri="154ec55a-2caa-43de-bd10-479a76a398ea"/>
    <ds:schemaRef ds:uri="1dec2fd3-6f58-46ab-a96e-e85cbcf7f322"/>
  </ds:schemaRefs>
</ds:datastoreItem>
</file>

<file path=customXml/itemProps2.xml><?xml version="1.0" encoding="utf-8"?>
<ds:datastoreItem xmlns:ds="http://schemas.openxmlformats.org/officeDocument/2006/customXml" ds:itemID="{8B5D72A3-C8E0-4FA5-8C33-C47DDEB80D6A}">
  <ds:schemaRefs>
    <ds:schemaRef ds:uri="http://schemas.openxmlformats.org/officeDocument/2006/bibliography"/>
  </ds:schemaRefs>
</ds:datastoreItem>
</file>

<file path=customXml/itemProps3.xml><?xml version="1.0" encoding="utf-8"?>
<ds:datastoreItem xmlns:ds="http://schemas.openxmlformats.org/officeDocument/2006/customXml" ds:itemID="{4A77DFC2-F349-45E9-A3CF-2D4C549DA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ec55a-2caa-43de-bd10-479a76a398ea"/>
    <ds:schemaRef ds:uri="1dec2fd3-6f58-46ab-a96e-e85cbcf7f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0AFD6-3DE3-472C-A631-F51CA8E7B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11088</Words>
  <Characters>55776</Characters>
  <Application>Microsoft Office Word</Application>
  <DocSecurity>0</DocSecurity>
  <Lines>832</Lines>
  <Paragraphs>165</Paragraphs>
  <ScaleCrop>false</ScaleCrop>
  <Company/>
  <LinksUpToDate>false</LinksUpToDate>
  <CharactersWithSpaces>66699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Tobin</dc:creator>
  <cp:keywords/>
  <dc:description/>
  <cp:lastModifiedBy>Brian Cummins</cp:lastModifiedBy>
  <cp:revision>6</cp:revision>
  <cp:lastPrinted>2022-08-08T14:33:00Z</cp:lastPrinted>
  <dcterms:created xsi:type="dcterms:W3CDTF">2024-09-10T15:45:00Z</dcterms:created>
  <dcterms:modified xsi:type="dcterms:W3CDTF">2024-11-14T17:22:00Z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0x0101000754A949F7C5D643A2C84BF66ACC2514</vt:lpwstr>
  </property>
  <property fmtid="{D5CDD505-2E9C-101B-9397-08002B2CF9AE}" pid="3" name="Order">
    <vt:r8>250400</vt:r8>
  </property>
  <property fmtid="{D5CDD505-2E9C-101B-9397-08002B2CF9AE}" pid="4" name="MediaServiceImageTags">
    <vt:lpwstr/>
  </property>
</Properties>
</file>