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ABAF7" w14:textId="77777777" w:rsidR="00E45382" w:rsidRDefault="00E45382" w:rsidP="00E45382">
      <w:pPr>
        <w:jc w:val="both"/>
      </w:pPr>
      <w:r>
        <w:rPr>
          <w:b/>
          <w:bCs/>
          <w:noProof/>
          <w:color w:val="1F497D"/>
          <w:lang w:eastAsia="en-IE"/>
        </w:rPr>
        <w:drawing>
          <wp:inline distT="0" distB="0" distL="0" distR="0" wp14:anchorId="4C830F09" wp14:editId="5AE4AA61">
            <wp:extent cx="1171575" cy="438150"/>
            <wp:effectExtent l="0" t="0" r="9525" b="0"/>
            <wp:docPr id="2" name="Picture 2" descr="sig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ature logo"/>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71575" cy="438150"/>
                    </a:xfrm>
                    <a:prstGeom prst="rect">
                      <a:avLst/>
                    </a:prstGeom>
                    <a:noFill/>
                    <a:ln>
                      <a:noFill/>
                    </a:ln>
                  </pic:spPr>
                </pic:pic>
              </a:graphicData>
            </a:graphic>
          </wp:inline>
        </w:drawing>
      </w:r>
    </w:p>
    <w:p w14:paraId="4E838838" w14:textId="77777777" w:rsidR="00E45382" w:rsidRDefault="00E45382" w:rsidP="00E45382">
      <w:pPr>
        <w:jc w:val="both"/>
      </w:pPr>
    </w:p>
    <w:p w14:paraId="270DBB2A" w14:textId="0B8F854E" w:rsidR="00E45382" w:rsidRDefault="00E45382" w:rsidP="00E45382">
      <w:pPr>
        <w:jc w:val="center"/>
        <w:rPr>
          <w:b/>
          <w:sz w:val="28"/>
          <w:szCs w:val="28"/>
        </w:rPr>
      </w:pPr>
      <w:r>
        <w:rPr>
          <w:b/>
          <w:sz w:val="28"/>
          <w:szCs w:val="28"/>
        </w:rPr>
        <w:t xml:space="preserve">The </w:t>
      </w:r>
      <w:r w:rsidRPr="00242A1C">
        <w:rPr>
          <w:b/>
          <w:sz w:val="28"/>
          <w:szCs w:val="28"/>
        </w:rPr>
        <w:t>H</w:t>
      </w:r>
      <w:r w:rsidR="00102C7C">
        <w:rPr>
          <w:b/>
          <w:sz w:val="28"/>
          <w:szCs w:val="28"/>
        </w:rPr>
        <w:t xml:space="preserve">ealth </w:t>
      </w:r>
      <w:r w:rsidRPr="00242A1C">
        <w:rPr>
          <w:b/>
          <w:sz w:val="28"/>
          <w:szCs w:val="28"/>
        </w:rPr>
        <w:t>R</w:t>
      </w:r>
      <w:r w:rsidR="00102C7C">
        <w:rPr>
          <w:b/>
          <w:sz w:val="28"/>
          <w:szCs w:val="28"/>
        </w:rPr>
        <w:t xml:space="preserve">esearch </w:t>
      </w:r>
      <w:r w:rsidRPr="00242A1C">
        <w:rPr>
          <w:b/>
          <w:sz w:val="28"/>
          <w:szCs w:val="28"/>
        </w:rPr>
        <w:t>B</w:t>
      </w:r>
      <w:r w:rsidR="00102C7C">
        <w:rPr>
          <w:b/>
          <w:sz w:val="28"/>
          <w:szCs w:val="28"/>
        </w:rPr>
        <w:t>oard (HRB)</w:t>
      </w:r>
      <w:r>
        <w:rPr>
          <w:b/>
          <w:sz w:val="28"/>
          <w:szCs w:val="28"/>
        </w:rPr>
        <w:t xml:space="preserve"> is seeking expressions of interest from p</w:t>
      </w:r>
      <w:r w:rsidRPr="00242A1C">
        <w:rPr>
          <w:b/>
          <w:sz w:val="28"/>
          <w:szCs w:val="28"/>
        </w:rPr>
        <w:t>erson</w:t>
      </w:r>
      <w:r>
        <w:rPr>
          <w:b/>
          <w:sz w:val="28"/>
          <w:szCs w:val="28"/>
        </w:rPr>
        <w:t>s</w:t>
      </w:r>
      <w:r w:rsidRPr="00242A1C">
        <w:rPr>
          <w:b/>
          <w:sz w:val="28"/>
          <w:szCs w:val="28"/>
        </w:rPr>
        <w:t xml:space="preserve"> with financial and governance experience</w:t>
      </w:r>
      <w:r>
        <w:rPr>
          <w:b/>
          <w:sz w:val="28"/>
          <w:szCs w:val="28"/>
        </w:rPr>
        <w:t xml:space="preserve"> to sit on its</w:t>
      </w:r>
      <w:r w:rsidRPr="00242A1C">
        <w:rPr>
          <w:b/>
          <w:sz w:val="28"/>
          <w:szCs w:val="28"/>
        </w:rPr>
        <w:t xml:space="preserve"> Audit and Risk Committee</w:t>
      </w:r>
    </w:p>
    <w:p w14:paraId="18518C2A" w14:textId="3E1B8590" w:rsidR="00E45382" w:rsidRPr="007908B7" w:rsidRDefault="00E45382" w:rsidP="00E45382">
      <w:pPr>
        <w:spacing w:after="0"/>
        <w:rPr>
          <w:rFonts w:ascii="Calibri" w:eastAsia="Calibri" w:hAnsi="Calibri" w:cs="Calibri"/>
          <w:bCs/>
        </w:rPr>
      </w:pPr>
      <w:r w:rsidRPr="007908B7">
        <w:rPr>
          <w:rFonts w:ascii="Calibri" w:eastAsia="Calibri" w:hAnsi="Calibri" w:cs="Calibri"/>
          <w:b/>
          <w:bCs/>
          <w:color w:val="0070C0"/>
        </w:rPr>
        <w:t xml:space="preserve">Number of vacancies: </w:t>
      </w:r>
      <w:r w:rsidRPr="007908B7">
        <w:rPr>
          <w:rFonts w:ascii="Calibri" w:eastAsia="Calibri" w:hAnsi="Calibri" w:cs="Calibri"/>
          <w:bCs/>
        </w:rPr>
        <w:t>one</w:t>
      </w:r>
      <w:r w:rsidR="00AC72AE">
        <w:rPr>
          <w:rFonts w:ascii="Calibri" w:eastAsia="Calibri" w:hAnsi="Calibri" w:cs="Calibri"/>
          <w:bCs/>
        </w:rPr>
        <w:t>.</w:t>
      </w:r>
    </w:p>
    <w:p w14:paraId="0B7AEB4C" w14:textId="77777777" w:rsidR="00E45382" w:rsidRPr="007908B7" w:rsidRDefault="00E45382" w:rsidP="00E45382">
      <w:pPr>
        <w:spacing w:after="0"/>
        <w:rPr>
          <w:rFonts w:ascii="Calibri" w:eastAsia="Calibri" w:hAnsi="Calibri" w:cs="Calibri"/>
          <w:b/>
          <w:bCs/>
          <w:color w:val="0070C0"/>
        </w:rPr>
      </w:pPr>
    </w:p>
    <w:p w14:paraId="05A17364" w14:textId="6BDBE521" w:rsidR="00E45382" w:rsidRPr="007908B7" w:rsidRDefault="00E45382" w:rsidP="00E45382">
      <w:pPr>
        <w:spacing w:after="0"/>
        <w:jc w:val="both"/>
        <w:rPr>
          <w:rFonts w:ascii="Calibri" w:hAnsi="Calibri" w:cs="Calibri"/>
        </w:rPr>
      </w:pPr>
      <w:r w:rsidRPr="007908B7">
        <w:rPr>
          <w:rFonts w:ascii="Calibri" w:hAnsi="Calibri" w:cs="Calibri"/>
          <w:b/>
          <w:color w:val="0070C0"/>
        </w:rPr>
        <w:t>Location:</w:t>
      </w:r>
      <w:r w:rsidRPr="007908B7">
        <w:rPr>
          <w:rFonts w:ascii="Calibri" w:hAnsi="Calibri" w:cs="Calibri"/>
          <w:color w:val="0070C0"/>
        </w:rPr>
        <w:t xml:space="preserve"> </w:t>
      </w:r>
      <w:r w:rsidR="00AE774B" w:rsidRPr="007908B7">
        <w:rPr>
          <w:rFonts w:ascii="Calibri" w:hAnsi="Calibri" w:cs="Calibri"/>
        </w:rPr>
        <w:t>M</w:t>
      </w:r>
      <w:r w:rsidRPr="007908B7">
        <w:rPr>
          <w:rFonts w:ascii="Calibri" w:hAnsi="Calibri" w:cs="Calibri"/>
        </w:rPr>
        <w:t>eetings are held at the HRB’s premises at Grattan House, 67-72 Lower Mount Street, Dublin 2</w:t>
      </w:r>
      <w:r w:rsidR="001A2425" w:rsidRPr="007908B7">
        <w:rPr>
          <w:rFonts w:ascii="Calibri" w:hAnsi="Calibri" w:cs="Calibri"/>
        </w:rPr>
        <w:t xml:space="preserve">, and occasionally online. </w:t>
      </w:r>
    </w:p>
    <w:p w14:paraId="1DD48052" w14:textId="77777777" w:rsidR="00E45382" w:rsidRPr="007908B7" w:rsidRDefault="00E45382" w:rsidP="00E45382">
      <w:pPr>
        <w:spacing w:after="0"/>
        <w:jc w:val="both"/>
        <w:rPr>
          <w:rFonts w:ascii="Calibri" w:hAnsi="Calibri" w:cs="Calibri"/>
        </w:rPr>
      </w:pPr>
    </w:p>
    <w:p w14:paraId="7C4B9E14" w14:textId="24126436" w:rsidR="00E45382" w:rsidRPr="007908B7" w:rsidRDefault="00E45382" w:rsidP="00E45382">
      <w:pPr>
        <w:spacing w:after="0"/>
        <w:jc w:val="both"/>
        <w:rPr>
          <w:rFonts w:ascii="Calibri" w:eastAsia="Calibri" w:hAnsi="Calibri" w:cs="Calibri"/>
        </w:rPr>
      </w:pPr>
      <w:r w:rsidRPr="007908B7">
        <w:rPr>
          <w:rFonts w:ascii="Calibri" w:eastAsia="Calibri" w:hAnsi="Calibri" w:cs="Calibri"/>
          <w:b/>
          <w:bCs/>
          <w:color w:val="0070C0"/>
        </w:rPr>
        <w:t xml:space="preserve">Frequency of meetings: </w:t>
      </w:r>
      <w:r w:rsidRPr="007908B7">
        <w:rPr>
          <w:rFonts w:ascii="Calibri" w:eastAsia="Calibri" w:hAnsi="Calibri" w:cs="Calibri"/>
        </w:rPr>
        <w:t>The Committee normally meets four times each year, but additional meetings may be required from time to time.</w:t>
      </w:r>
      <w:r w:rsidR="00AC72AE">
        <w:rPr>
          <w:rFonts w:ascii="Calibri" w:eastAsia="Calibri" w:hAnsi="Calibri" w:cs="Calibri"/>
        </w:rPr>
        <w:t xml:space="preserve"> The </w:t>
      </w:r>
      <w:r w:rsidR="00AC72AE">
        <w:rPr>
          <w:rFonts w:ascii="Calibri" w:hAnsi="Calibri" w:cs="Calibri"/>
          <w:lang w:val="en-GB"/>
        </w:rPr>
        <w:t xml:space="preserve">first meeting </w:t>
      </w:r>
      <w:r w:rsidR="005E4110">
        <w:rPr>
          <w:rFonts w:ascii="Calibri" w:hAnsi="Calibri" w:cs="Calibri"/>
          <w:lang w:val="en-GB"/>
        </w:rPr>
        <w:t>for the successful candidate will be on</w:t>
      </w:r>
      <w:r w:rsidR="00AC72AE">
        <w:rPr>
          <w:rFonts w:ascii="Calibri" w:hAnsi="Calibri" w:cs="Calibri"/>
          <w:lang w:val="en-GB"/>
        </w:rPr>
        <w:t xml:space="preserve"> February 28, 2025.</w:t>
      </w:r>
    </w:p>
    <w:p w14:paraId="7BFC72BA" w14:textId="77777777" w:rsidR="00E45382" w:rsidRPr="007908B7" w:rsidRDefault="00E45382" w:rsidP="00E45382">
      <w:pPr>
        <w:spacing w:after="0"/>
        <w:jc w:val="both"/>
        <w:rPr>
          <w:rFonts w:ascii="Calibri" w:eastAsia="Calibri" w:hAnsi="Calibri" w:cs="Calibri"/>
        </w:rPr>
      </w:pPr>
    </w:p>
    <w:p w14:paraId="1ECA4761" w14:textId="60F6870B" w:rsidR="00E45382" w:rsidRPr="007908B7" w:rsidRDefault="00E45382" w:rsidP="00E45382">
      <w:pPr>
        <w:spacing w:after="0"/>
        <w:ind w:right="6"/>
        <w:jc w:val="both"/>
        <w:rPr>
          <w:rFonts w:ascii="Calibri" w:eastAsia="Calibri" w:hAnsi="Calibri" w:cs="Calibri"/>
        </w:rPr>
      </w:pPr>
      <w:r w:rsidRPr="007908B7">
        <w:rPr>
          <w:rFonts w:ascii="Calibri" w:eastAsia="Calibri" w:hAnsi="Calibri" w:cs="Calibri"/>
          <w:b/>
          <w:color w:val="0070C0"/>
        </w:rPr>
        <w:t>Time commitment</w:t>
      </w:r>
      <w:r w:rsidRPr="007908B7">
        <w:rPr>
          <w:rFonts w:ascii="Calibri" w:eastAsia="Calibri" w:hAnsi="Calibri" w:cs="Calibri"/>
          <w:color w:val="0070C0"/>
        </w:rPr>
        <w:t xml:space="preserve">: </w:t>
      </w:r>
      <w:r w:rsidRPr="007908B7">
        <w:rPr>
          <w:rFonts w:ascii="Calibri" w:hAnsi="Calibri" w:cs="Calibri"/>
        </w:rPr>
        <w:t>It is expected that the time commitment required</w:t>
      </w:r>
      <w:r w:rsidRPr="007908B7">
        <w:rPr>
          <w:rFonts w:ascii="Calibri" w:eastAsia="Calibri" w:hAnsi="Calibri" w:cs="Calibri"/>
        </w:rPr>
        <w:t xml:space="preserve"> will typically be four days per annum, including time to read papers in preparation for meetings and a programme of activity</w:t>
      </w:r>
      <w:r w:rsidR="00D17FED" w:rsidRPr="007908B7">
        <w:rPr>
          <w:rFonts w:ascii="Calibri" w:eastAsia="Calibri" w:hAnsi="Calibri" w:cs="Calibri"/>
        </w:rPr>
        <w:t>, including training from time to time,</w:t>
      </w:r>
      <w:r w:rsidRPr="007908B7">
        <w:rPr>
          <w:rFonts w:ascii="Calibri" w:eastAsia="Calibri" w:hAnsi="Calibri" w:cs="Calibri"/>
        </w:rPr>
        <w:t xml:space="preserve"> to keep </w:t>
      </w:r>
      <w:r w:rsidR="001A2425" w:rsidRPr="007908B7">
        <w:rPr>
          <w:rFonts w:ascii="Calibri" w:eastAsia="Calibri" w:hAnsi="Calibri" w:cs="Calibri"/>
        </w:rPr>
        <w:t xml:space="preserve">up </w:t>
      </w:r>
      <w:r w:rsidR="00BC3D19" w:rsidRPr="007908B7">
        <w:rPr>
          <w:rFonts w:ascii="Calibri" w:eastAsia="Calibri" w:hAnsi="Calibri" w:cs="Calibri"/>
        </w:rPr>
        <w:t xml:space="preserve">to date </w:t>
      </w:r>
      <w:r w:rsidRPr="007908B7">
        <w:rPr>
          <w:rFonts w:ascii="Calibri" w:eastAsia="Calibri" w:hAnsi="Calibri" w:cs="Calibri"/>
        </w:rPr>
        <w:t>with</w:t>
      </w:r>
      <w:r w:rsidR="00582EA5" w:rsidRPr="007908B7">
        <w:rPr>
          <w:rFonts w:ascii="Calibri" w:eastAsia="Calibri" w:hAnsi="Calibri" w:cs="Calibri"/>
        </w:rPr>
        <w:t xml:space="preserve"> best practice and</w:t>
      </w:r>
      <w:r w:rsidRPr="007908B7">
        <w:rPr>
          <w:rFonts w:ascii="Calibri" w:eastAsia="Calibri" w:hAnsi="Calibri" w:cs="Calibri"/>
        </w:rPr>
        <w:t xml:space="preserve"> the organisation’s activities and priorities. </w:t>
      </w:r>
    </w:p>
    <w:p w14:paraId="512106D0" w14:textId="77777777" w:rsidR="00E45382" w:rsidRPr="007908B7" w:rsidRDefault="00E45382" w:rsidP="00E45382">
      <w:pPr>
        <w:spacing w:after="0"/>
        <w:ind w:right="6"/>
        <w:jc w:val="both"/>
        <w:rPr>
          <w:rFonts w:ascii="Calibri" w:eastAsia="Calibri" w:hAnsi="Calibri" w:cs="Calibri"/>
        </w:rPr>
      </w:pPr>
    </w:p>
    <w:p w14:paraId="7B0F4AB3" w14:textId="3DA14535" w:rsidR="00E45382" w:rsidRPr="007908B7" w:rsidRDefault="00E45382" w:rsidP="00E45382">
      <w:pPr>
        <w:pStyle w:val="Default"/>
        <w:spacing w:line="276" w:lineRule="auto"/>
        <w:jc w:val="both"/>
        <w:rPr>
          <w:rFonts w:ascii="Calibri" w:hAnsi="Calibri" w:cs="Calibri"/>
          <w:color w:val="auto"/>
          <w:sz w:val="22"/>
          <w:szCs w:val="22"/>
        </w:rPr>
      </w:pPr>
      <w:r w:rsidRPr="007908B7">
        <w:rPr>
          <w:rFonts w:ascii="Calibri" w:eastAsia="Calibri" w:hAnsi="Calibri" w:cs="Calibri"/>
          <w:b/>
          <w:color w:val="0070C0"/>
          <w:sz w:val="22"/>
          <w:szCs w:val="22"/>
        </w:rPr>
        <w:t>Remuneration:</w:t>
      </w:r>
      <w:r w:rsidRPr="007908B7">
        <w:rPr>
          <w:rFonts w:ascii="Calibri" w:eastAsia="Calibri" w:hAnsi="Calibri" w:cs="Calibri"/>
          <w:color w:val="0070C0"/>
          <w:sz w:val="22"/>
          <w:szCs w:val="22"/>
        </w:rPr>
        <w:t xml:space="preserve"> </w:t>
      </w:r>
      <w:r w:rsidRPr="007908B7">
        <w:rPr>
          <w:rFonts w:ascii="Calibri" w:eastAsia="Calibri" w:hAnsi="Calibri" w:cs="Calibri"/>
          <w:sz w:val="22"/>
          <w:szCs w:val="22"/>
        </w:rPr>
        <w:t>A fee of €</w:t>
      </w:r>
      <w:r w:rsidR="00AF43CB" w:rsidRPr="007908B7">
        <w:rPr>
          <w:rFonts w:ascii="Calibri" w:eastAsia="Calibri" w:hAnsi="Calibri" w:cs="Calibri"/>
          <w:sz w:val="22"/>
          <w:szCs w:val="22"/>
        </w:rPr>
        <w:t xml:space="preserve">400 </w:t>
      </w:r>
      <w:r w:rsidRPr="007908B7">
        <w:rPr>
          <w:rFonts w:ascii="Calibri" w:eastAsia="Calibri" w:hAnsi="Calibri" w:cs="Calibri"/>
          <w:sz w:val="22"/>
          <w:szCs w:val="22"/>
        </w:rPr>
        <w:t xml:space="preserve">gross will be paid for each meeting attended. </w:t>
      </w:r>
      <w:r w:rsidRPr="007908B7">
        <w:rPr>
          <w:rFonts w:ascii="Calibri" w:hAnsi="Calibri" w:cs="Calibri"/>
          <w:color w:val="auto"/>
          <w:sz w:val="22"/>
          <w:szCs w:val="22"/>
        </w:rPr>
        <w:t xml:space="preserve">Travel and subsistence </w:t>
      </w:r>
      <w:r w:rsidR="00812198" w:rsidRPr="007908B7">
        <w:rPr>
          <w:rFonts w:ascii="Calibri" w:hAnsi="Calibri" w:cs="Calibri"/>
          <w:color w:val="auto"/>
          <w:sz w:val="22"/>
          <w:szCs w:val="22"/>
        </w:rPr>
        <w:t xml:space="preserve">are </w:t>
      </w:r>
      <w:r w:rsidRPr="007908B7">
        <w:rPr>
          <w:rFonts w:ascii="Calibri" w:hAnsi="Calibri" w:cs="Calibri"/>
          <w:color w:val="auto"/>
          <w:sz w:val="22"/>
          <w:szCs w:val="22"/>
        </w:rPr>
        <w:t>payable at rates set by the Department of Public Expenditure</w:t>
      </w:r>
      <w:r w:rsidR="00012F14" w:rsidRPr="007908B7">
        <w:rPr>
          <w:rFonts w:ascii="Calibri" w:hAnsi="Calibri" w:cs="Calibri"/>
          <w:color w:val="auto"/>
          <w:sz w:val="22"/>
          <w:szCs w:val="22"/>
        </w:rPr>
        <w:t>, NDP Delivery</w:t>
      </w:r>
      <w:r w:rsidRPr="007908B7">
        <w:rPr>
          <w:rFonts w:ascii="Calibri" w:hAnsi="Calibri" w:cs="Calibri"/>
          <w:color w:val="auto"/>
          <w:sz w:val="22"/>
          <w:szCs w:val="22"/>
        </w:rPr>
        <w:t xml:space="preserve"> and Reform. </w:t>
      </w:r>
    </w:p>
    <w:p w14:paraId="14B1BFDF" w14:textId="77777777" w:rsidR="00E45382" w:rsidRPr="007908B7" w:rsidRDefault="00E45382" w:rsidP="00E45382">
      <w:pPr>
        <w:pStyle w:val="Default"/>
        <w:spacing w:line="276" w:lineRule="auto"/>
        <w:jc w:val="both"/>
        <w:rPr>
          <w:rFonts w:ascii="Calibri" w:hAnsi="Calibri" w:cs="Calibri"/>
          <w:color w:val="auto"/>
          <w:sz w:val="22"/>
          <w:szCs w:val="22"/>
        </w:rPr>
      </w:pPr>
    </w:p>
    <w:p w14:paraId="021A97D2" w14:textId="77777777" w:rsidR="00E45382" w:rsidRPr="007908B7" w:rsidRDefault="00E45382" w:rsidP="00E45382">
      <w:pPr>
        <w:spacing w:after="0"/>
        <w:jc w:val="both"/>
        <w:rPr>
          <w:rFonts w:ascii="Calibri" w:eastAsia="Calibri" w:hAnsi="Calibri" w:cs="Calibri"/>
        </w:rPr>
      </w:pPr>
      <w:r w:rsidRPr="007908B7">
        <w:rPr>
          <w:rFonts w:ascii="Calibri" w:eastAsia="Calibri" w:hAnsi="Calibri" w:cs="Calibri"/>
          <w:b/>
          <w:color w:val="0070C0"/>
        </w:rPr>
        <w:t>Period of appointment:</w:t>
      </w:r>
      <w:r w:rsidRPr="007908B7">
        <w:rPr>
          <w:rFonts w:ascii="Calibri" w:eastAsia="Calibri" w:hAnsi="Calibri" w:cs="Calibri"/>
          <w:color w:val="0070C0"/>
        </w:rPr>
        <w:t xml:space="preserve"> </w:t>
      </w:r>
      <w:r w:rsidRPr="007908B7">
        <w:rPr>
          <w:rFonts w:ascii="Calibri" w:eastAsia="Calibri" w:hAnsi="Calibri" w:cs="Calibri"/>
        </w:rPr>
        <w:t>The appointment is for a period of three years. The appointment may be renewed once by mutual agreement.</w:t>
      </w:r>
    </w:p>
    <w:p w14:paraId="2F83EA73" w14:textId="77777777" w:rsidR="00812198" w:rsidRPr="007908B7" w:rsidRDefault="00812198" w:rsidP="00E45382">
      <w:pPr>
        <w:spacing w:after="0"/>
        <w:jc w:val="both"/>
        <w:rPr>
          <w:rFonts w:ascii="Calibri" w:eastAsia="Calibri" w:hAnsi="Calibri" w:cs="Calibri"/>
        </w:rPr>
      </w:pPr>
    </w:p>
    <w:p w14:paraId="513F038B" w14:textId="77777777" w:rsidR="00E45382" w:rsidRPr="007908B7" w:rsidRDefault="00E45382" w:rsidP="00AE774B">
      <w:pPr>
        <w:pStyle w:val="ListParagraph"/>
        <w:numPr>
          <w:ilvl w:val="0"/>
          <w:numId w:val="1"/>
        </w:numPr>
        <w:spacing w:after="0"/>
        <w:rPr>
          <w:rFonts w:ascii="Calibri" w:hAnsi="Calibri" w:cs="Calibri"/>
          <w:b/>
          <w:color w:val="0070C0"/>
        </w:rPr>
      </w:pPr>
      <w:r w:rsidRPr="007908B7">
        <w:rPr>
          <w:rFonts w:ascii="Calibri" w:hAnsi="Calibri" w:cs="Calibri"/>
          <w:b/>
          <w:color w:val="0070C0"/>
        </w:rPr>
        <w:t>About the HRB</w:t>
      </w:r>
    </w:p>
    <w:p w14:paraId="7977C46F" w14:textId="77777777" w:rsidR="00E45382" w:rsidRPr="007908B7" w:rsidRDefault="00E45382" w:rsidP="00E45382">
      <w:pPr>
        <w:jc w:val="both"/>
        <w:rPr>
          <w:rFonts w:ascii="Calibri" w:hAnsi="Calibri" w:cs="Calibri"/>
        </w:rPr>
      </w:pPr>
      <w:r w:rsidRPr="007908B7">
        <w:rPr>
          <w:rFonts w:ascii="Calibri" w:hAnsi="Calibri" w:cs="Calibri"/>
        </w:rPr>
        <w:t xml:space="preserve">The Health Research Board (HRB) is a statutory agency under the aegis of the Department of Health.  As the lead agency in Ireland responsible for supporting and funding health research, information and evidence we are motivated and inspired by our vision – Healthy people through excellent research and applied knowledge.  Further information about the HRB is available at </w:t>
      </w:r>
      <w:hyperlink r:id="rId12" w:history="1">
        <w:r w:rsidRPr="007908B7">
          <w:rPr>
            <w:rStyle w:val="Hyperlink"/>
            <w:rFonts w:ascii="Calibri" w:hAnsi="Calibri" w:cs="Calibri"/>
          </w:rPr>
          <w:t>www.hrb.ie</w:t>
        </w:r>
      </w:hyperlink>
    </w:p>
    <w:p w14:paraId="62DE7D14" w14:textId="77777777" w:rsidR="00E45382" w:rsidRPr="007908B7" w:rsidRDefault="00E45382" w:rsidP="00E45382">
      <w:pPr>
        <w:pStyle w:val="ListParagraph"/>
        <w:numPr>
          <w:ilvl w:val="0"/>
          <w:numId w:val="1"/>
        </w:numPr>
        <w:spacing w:after="0"/>
        <w:rPr>
          <w:rFonts w:ascii="Calibri" w:hAnsi="Calibri" w:cs="Calibri"/>
          <w:b/>
          <w:color w:val="0070C0"/>
        </w:rPr>
      </w:pPr>
      <w:r w:rsidRPr="007908B7">
        <w:rPr>
          <w:rFonts w:ascii="Calibri" w:hAnsi="Calibri" w:cs="Calibri"/>
          <w:b/>
          <w:color w:val="0070C0"/>
        </w:rPr>
        <w:t>Functions of the HRB’s Audit and Risk Committee</w:t>
      </w:r>
    </w:p>
    <w:p w14:paraId="0C716028" w14:textId="77777777" w:rsidR="00E45382" w:rsidRPr="007908B7" w:rsidRDefault="00E45382" w:rsidP="00E45382">
      <w:pPr>
        <w:spacing w:after="0"/>
        <w:jc w:val="both"/>
        <w:rPr>
          <w:rFonts w:ascii="Calibri" w:hAnsi="Calibri" w:cs="Calibri"/>
        </w:rPr>
      </w:pPr>
      <w:r w:rsidRPr="007908B7">
        <w:rPr>
          <w:rFonts w:ascii="Calibri" w:hAnsi="Calibri" w:cs="Calibri"/>
        </w:rPr>
        <w:t>The Audit and Risk Committee is a standing committee of the Board of the HRB. Its functions are to</w:t>
      </w:r>
      <w:r w:rsidRPr="007908B7">
        <w:rPr>
          <w:rFonts w:ascii="Calibri" w:eastAsia="Calibri" w:hAnsi="Calibri" w:cs="Calibri"/>
        </w:rPr>
        <w:t xml:space="preserve"> advise the Board on:</w:t>
      </w:r>
    </w:p>
    <w:p w14:paraId="74829A9F" w14:textId="77777777" w:rsidR="00E45382" w:rsidRPr="007908B7" w:rsidRDefault="00E45382" w:rsidP="00E45382">
      <w:pPr>
        <w:pStyle w:val="ListParagraph"/>
        <w:numPr>
          <w:ilvl w:val="0"/>
          <w:numId w:val="2"/>
        </w:numPr>
        <w:tabs>
          <w:tab w:val="left" w:pos="720"/>
          <w:tab w:val="left" w:pos="1440"/>
        </w:tabs>
        <w:spacing w:after="0"/>
        <w:jc w:val="both"/>
        <w:rPr>
          <w:rFonts w:ascii="Calibri" w:eastAsia="Courier New" w:hAnsi="Calibri" w:cs="Calibri"/>
        </w:rPr>
      </w:pPr>
      <w:r w:rsidRPr="007908B7">
        <w:rPr>
          <w:rFonts w:ascii="Calibri" w:hAnsi="Calibri" w:cs="Calibri"/>
        </w:rPr>
        <w:t xml:space="preserve">the strategic processes for risk, internal control and </w:t>
      </w:r>
      <w:proofErr w:type="gramStart"/>
      <w:r w:rsidRPr="007908B7">
        <w:rPr>
          <w:rFonts w:ascii="Calibri" w:hAnsi="Calibri" w:cs="Calibri"/>
        </w:rPr>
        <w:t>governance;</w:t>
      </w:r>
      <w:proofErr w:type="gramEnd"/>
      <w:r w:rsidRPr="007908B7">
        <w:rPr>
          <w:rFonts w:ascii="Calibri" w:eastAsia="Courier New" w:hAnsi="Calibri" w:cs="Calibri"/>
        </w:rPr>
        <w:t xml:space="preserve"> </w:t>
      </w:r>
    </w:p>
    <w:p w14:paraId="5172B986" w14:textId="77777777" w:rsidR="00E45382" w:rsidRPr="007908B7" w:rsidRDefault="00E45382" w:rsidP="00E45382">
      <w:pPr>
        <w:pStyle w:val="ListParagraph"/>
        <w:numPr>
          <w:ilvl w:val="0"/>
          <w:numId w:val="2"/>
        </w:numPr>
        <w:tabs>
          <w:tab w:val="left" w:pos="720"/>
          <w:tab w:val="left" w:pos="1440"/>
        </w:tabs>
        <w:spacing w:after="0"/>
        <w:jc w:val="both"/>
        <w:rPr>
          <w:rFonts w:ascii="Calibri" w:eastAsia="Courier New" w:hAnsi="Calibri" w:cs="Calibri"/>
        </w:rPr>
      </w:pPr>
      <w:r w:rsidRPr="007908B7">
        <w:rPr>
          <w:rFonts w:ascii="Calibri" w:hAnsi="Calibri" w:cs="Calibri"/>
        </w:rPr>
        <w:t xml:space="preserve">the accounting policies, the financial statements, and the annual report of the organisation, including the process for review of the financial statements prior to submission for audit, levels of error identified, and management’s letter of representation to the external </w:t>
      </w:r>
      <w:proofErr w:type="gramStart"/>
      <w:r w:rsidRPr="007908B7">
        <w:rPr>
          <w:rFonts w:ascii="Calibri" w:hAnsi="Calibri" w:cs="Calibri"/>
        </w:rPr>
        <w:t>auditors;</w:t>
      </w:r>
      <w:proofErr w:type="gramEnd"/>
      <w:r w:rsidRPr="007908B7">
        <w:rPr>
          <w:rFonts w:ascii="Calibri" w:eastAsia="Courier New" w:hAnsi="Calibri" w:cs="Calibri"/>
        </w:rPr>
        <w:t xml:space="preserve"> </w:t>
      </w:r>
    </w:p>
    <w:p w14:paraId="39443BF2" w14:textId="77777777" w:rsidR="00E45382" w:rsidRPr="007908B7" w:rsidRDefault="00E45382" w:rsidP="00E45382">
      <w:pPr>
        <w:pStyle w:val="ListParagraph"/>
        <w:numPr>
          <w:ilvl w:val="0"/>
          <w:numId w:val="2"/>
        </w:numPr>
        <w:tabs>
          <w:tab w:val="left" w:pos="720"/>
          <w:tab w:val="left" w:pos="1440"/>
        </w:tabs>
        <w:spacing w:after="0"/>
        <w:jc w:val="both"/>
        <w:rPr>
          <w:rFonts w:ascii="Calibri" w:eastAsia="Courier New" w:hAnsi="Calibri" w:cs="Calibri"/>
        </w:rPr>
      </w:pPr>
      <w:r w:rsidRPr="007908B7">
        <w:rPr>
          <w:rFonts w:ascii="Calibri" w:hAnsi="Calibri" w:cs="Calibri"/>
        </w:rPr>
        <w:t xml:space="preserve">the planned activity and results of both internal and external </w:t>
      </w:r>
      <w:proofErr w:type="gramStart"/>
      <w:r w:rsidRPr="007908B7">
        <w:rPr>
          <w:rFonts w:ascii="Calibri" w:hAnsi="Calibri" w:cs="Calibri"/>
        </w:rPr>
        <w:t>audit;</w:t>
      </w:r>
      <w:proofErr w:type="gramEnd"/>
      <w:r w:rsidRPr="007908B7">
        <w:rPr>
          <w:rFonts w:ascii="Calibri" w:eastAsia="Courier New" w:hAnsi="Calibri" w:cs="Calibri"/>
        </w:rPr>
        <w:t xml:space="preserve"> </w:t>
      </w:r>
    </w:p>
    <w:p w14:paraId="09BC8CD5" w14:textId="77777777" w:rsidR="00E45382" w:rsidRPr="007908B7" w:rsidRDefault="00E45382" w:rsidP="00E45382">
      <w:pPr>
        <w:pStyle w:val="ListParagraph"/>
        <w:numPr>
          <w:ilvl w:val="0"/>
          <w:numId w:val="2"/>
        </w:numPr>
        <w:tabs>
          <w:tab w:val="left" w:pos="720"/>
          <w:tab w:val="left" w:pos="1440"/>
        </w:tabs>
        <w:spacing w:after="0"/>
        <w:jc w:val="both"/>
        <w:rPr>
          <w:rFonts w:ascii="Calibri" w:eastAsia="Courier New" w:hAnsi="Calibri" w:cs="Calibri"/>
        </w:rPr>
      </w:pPr>
      <w:r w:rsidRPr="007908B7">
        <w:rPr>
          <w:rFonts w:ascii="Calibri" w:hAnsi="Calibri" w:cs="Calibri"/>
        </w:rPr>
        <w:t xml:space="preserve">adequacy of management response to issues identified by audit activity, including external audit’s management letter of </w:t>
      </w:r>
      <w:proofErr w:type="gramStart"/>
      <w:r w:rsidRPr="007908B7">
        <w:rPr>
          <w:rFonts w:ascii="Calibri" w:hAnsi="Calibri" w:cs="Calibri"/>
        </w:rPr>
        <w:t>representation;</w:t>
      </w:r>
      <w:proofErr w:type="gramEnd"/>
      <w:r w:rsidRPr="007908B7">
        <w:rPr>
          <w:rFonts w:ascii="Calibri" w:eastAsia="Courier New" w:hAnsi="Calibri" w:cs="Calibri"/>
        </w:rPr>
        <w:t xml:space="preserve"> </w:t>
      </w:r>
    </w:p>
    <w:p w14:paraId="217379A8" w14:textId="77777777" w:rsidR="00E45382" w:rsidRPr="007908B7" w:rsidRDefault="00E45382" w:rsidP="00E45382">
      <w:pPr>
        <w:pStyle w:val="ListParagraph"/>
        <w:numPr>
          <w:ilvl w:val="0"/>
          <w:numId w:val="2"/>
        </w:numPr>
        <w:tabs>
          <w:tab w:val="left" w:pos="720"/>
          <w:tab w:val="left" w:pos="1440"/>
        </w:tabs>
        <w:spacing w:after="0"/>
        <w:jc w:val="both"/>
        <w:rPr>
          <w:rFonts w:ascii="Calibri" w:eastAsia="Courier New" w:hAnsi="Calibri" w:cs="Calibri"/>
        </w:rPr>
      </w:pPr>
      <w:r w:rsidRPr="007908B7">
        <w:rPr>
          <w:rFonts w:ascii="Calibri" w:hAnsi="Calibri" w:cs="Calibri"/>
        </w:rPr>
        <w:lastRenderedPageBreak/>
        <w:t xml:space="preserve">assurances relating to the management of risk and corporate governance requirements for the State </w:t>
      </w:r>
      <w:proofErr w:type="gramStart"/>
      <w:r w:rsidRPr="007908B7">
        <w:rPr>
          <w:rFonts w:ascii="Calibri" w:hAnsi="Calibri" w:cs="Calibri"/>
        </w:rPr>
        <w:t>body;</w:t>
      </w:r>
      <w:proofErr w:type="gramEnd"/>
      <w:r w:rsidRPr="007908B7">
        <w:rPr>
          <w:rFonts w:ascii="Calibri" w:eastAsia="Courier New" w:hAnsi="Calibri" w:cs="Calibri"/>
        </w:rPr>
        <w:t xml:space="preserve"> </w:t>
      </w:r>
    </w:p>
    <w:p w14:paraId="660EF74C" w14:textId="77777777" w:rsidR="00E45382" w:rsidRPr="007908B7" w:rsidRDefault="00E45382" w:rsidP="00E45382">
      <w:pPr>
        <w:pStyle w:val="ListParagraph"/>
        <w:numPr>
          <w:ilvl w:val="0"/>
          <w:numId w:val="2"/>
        </w:numPr>
        <w:tabs>
          <w:tab w:val="left" w:pos="720"/>
          <w:tab w:val="left" w:pos="1440"/>
        </w:tabs>
        <w:spacing w:after="0"/>
        <w:jc w:val="both"/>
        <w:rPr>
          <w:rFonts w:ascii="Calibri" w:eastAsia="Courier New" w:hAnsi="Calibri" w:cs="Calibri"/>
        </w:rPr>
      </w:pPr>
      <w:r w:rsidRPr="007908B7">
        <w:rPr>
          <w:rFonts w:ascii="Calibri" w:hAnsi="Calibri" w:cs="Calibri"/>
        </w:rPr>
        <w:t xml:space="preserve">(where appropriate) proposals for tendering for either internal or external audit services or for purchase of non-audit services from contractors who provide audit </w:t>
      </w:r>
      <w:proofErr w:type="gramStart"/>
      <w:r w:rsidRPr="007908B7">
        <w:rPr>
          <w:rFonts w:ascii="Calibri" w:hAnsi="Calibri" w:cs="Calibri"/>
        </w:rPr>
        <w:t>services;</w:t>
      </w:r>
      <w:proofErr w:type="gramEnd"/>
      <w:r w:rsidRPr="007908B7">
        <w:rPr>
          <w:rFonts w:ascii="Calibri" w:eastAsia="Courier New" w:hAnsi="Calibri" w:cs="Calibri"/>
        </w:rPr>
        <w:t xml:space="preserve"> </w:t>
      </w:r>
    </w:p>
    <w:p w14:paraId="67321392" w14:textId="77777777" w:rsidR="00E45382" w:rsidRPr="007908B7" w:rsidRDefault="00E45382" w:rsidP="00E45382">
      <w:pPr>
        <w:pStyle w:val="ListParagraph"/>
        <w:numPr>
          <w:ilvl w:val="0"/>
          <w:numId w:val="2"/>
        </w:numPr>
        <w:tabs>
          <w:tab w:val="left" w:pos="720"/>
          <w:tab w:val="left" w:pos="1440"/>
        </w:tabs>
        <w:spacing w:after="0"/>
        <w:jc w:val="both"/>
        <w:rPr>
          <w:rFonts w:ascii="Calibri" w:eastAsia="Courier New" w:hAnsi="Calibri" w:cs="Calibri"/>
        </w:rPr>
      </w:pPr>
      <w:r w:rsidRPr="007908B7">
        <w:rPr>
          <w:rFonts w:ascii="Calibri" w:hAnsi="Calibri" w:cs="Calibri"/>
        </w:rPr>
        <w:t>anti-fraud policies, protected disclosure processes, and arrangements for special investigations; and</w:t>
      </w:r>
    </w:p>
    <w:p w14:paraId="0725B6A3" w14:textId="77777777" w:rsidR="00E45382" w:rsidRDefault="00E45382" w:rsidP="00E45382">
      <w:pPr>
        <w:pStyle w:val="ListParagraph"/>
        <w:numPr>
          <w:ilvl w:val="0"/>
          <w:numId w:val="2"/>
        </w:numPr>
        <w:tabs>
          <w:tab w:val="left" w:pos="720"/>
          <w:tab w:val="left" w:pos="1440"/>
        </w:tabs>
        <w:spacing w:after="0"/>
        <w:jc w:val="both"/>
        <w:rPr>
          <w:rFonts w:ascii="Calibri" w:eastAsia="Courier New" w:hAnsi="Calibri" w:cs="Calibri"/>
        </w:rPr>
      </w:pPr>
      <w:r w:rsidRPr="007908B7">
        <w:rPr>
          <w:rFonts w:ascii="Calibri" w:hAnsi="Calibri" w:cs="Calibri"/>
        </w:rPr>
        <w:t>the Audit and Risk Committee will also periodically review its own effectiveness and report the results of that review to the Board.</w:t>
      </w:r>
      <w:r w:rsidRPr="007908B7">
        <w:rPr>
          <w:rFonts w:ascii="Calibri" w:eastAsia="Courier New" w:hAnsi="Calibri" w:cs="Calibri"/>
        </w:rPr>
        <w:t xml:space="preserve"> </w:t>
      </w:r>
    </w:p>
    <w:p w14:paraId="636DB8EF" w14:textId="77777777" w:rsidR="005D07B1" w:rsidRPr="005D07B1" w:rsidRDefault="005D07B1" w:rsidP="005D07B1">
      <w:pPr>
        <w:tabs>
          <w:tab w:val="left" w:pos="720"/>
          <w:tab w:val="left" w:pos="1440"/>
        </w:tabs>
        <w:spacing w:after="0"/>
        <w:ind w:left="360"/>
        <w:jc w:val="both"/>
        <w:rPr>
          <w:rFonts w:ascii="Calibri" w:eastAsia="Courier New" w:hAnsi="Calibri" w:cs="Calibri"/>
        </w:rPr>
      </w:pPr>
    </w:p>
    <w:p w14:paraId="38F35740" w14:textId="77777777" w:rsidR="00E45382" w:rsidRPr="007908B7" w:rsidRDefault="00E45382" w:rsidP="00E45382">
      <w:pPr>
        <w:pStyle w:val="ListParagraph"/>
        <w:numPr>
          <w:ilvl w:val="0"/>
          <w:numId w:val="1"/>
        </w:numPr>
        <w:spacing w:after="0"/>
        <w:ind w:left="714" w:hanging="357"/>
        <w:rPr>
          <w:rFonts w:ascii="Calibri" w:hAnsi="Calibri" w:cs="Calibri"/>
          <w:b/>
          <w:color w:val="0070C0"/>
        </w:rPr>
      </w:pPr>
      <w:r w:rsidRPr="007908B7">
        <w:rPr>
          <w:rFonts w:ascii="Calibri" w:hAnsi="Calibri" w:cs="Calibri"/>
          <w:b/>
          <w:color w:val="0070C0"/>
        </w:rPr>
        <w:t>The person</w:t>
      </w:r>
    </w:p>
    <w:p w14:paraId="6A66F529" w14:textId="77533A33" w:rsidR="00E45382" w:rsidRPr="007908B7" w:rsidRDefault="00E45382" w:rsidP="00E45382">
      <w:pPr>
        <w:spacing w:after="0"/>
        <w:rPr>
          <w:rFonts w:ascii="Calibri" w:hAnsi="Calibri" w:cs="Calibri"/>
        </w:rPr>
      </w:pPr>
      <w:r w:rsidRPr="007908B7">
        <w:rPr>
          <w:rFonts w:ascii="Calibri" w:hAnsi="Calibri" w:cs="Calibri"/>
        </w:rPr>
        <w:t>It is expected that the person appointed will have the following attributes</w:t>
      </w:r>
      <w:r w:rsidR="000E72C9" w:rsidRPr="007908B7">
        <w:rPr>
          <w:rFonts w:ascii="Calibri" w:hAnsi="Calibri" w:cs="Calibri"/>
        </w:rPr>
        <w:t xml:space="preserve">: </w:t>
      </w:r>
    </w:p>
    <w:p w14:paraId="0AD8079B" w14:textId="47727496" w:rsidR="00E45382" w:rsidRPr="007908B7" w:rsidRDefault="00E45382" w:rsidP="00E45382">
      <w:pPr>
        <w:pStyle w:val="ListParagraph"/>
        <w:numPr>
          <w:ilvl w:val="0"/>
          <w:numId w:val="3"/>
        </w:numPr>
        <w:spacing w:after="0"/>
        <w:jc w:val="both"/>
        <w:rPr>
          <w:rFonts w:ascii="Calibri" w:hAnsi="Calibri" w:cs="Calibri"/>
        </w:rPr>
      </w:pPr>
      <w:r w:rsidRPr="007908B7">
        <w:rPr>
          <w:rFonts w:ascii="Calibri" w:hAnsi="Calibri" w:cs="Calibri"/>
        </w:rPr>
        <w:t>An understanding of GAAP and financial statements</w:t>
      </w:r>
      <w:r w:rsidR="000E72C9" w:rsidRPr="007908B7">
        <w:rPr>
          <w:rFonts w:ascii="Calibri" w:hAnsi="Calibri" w:cs="Calibri"/>
        </w:rPr>
        <w:t>,</w:t>
      </w:r>
    </w:p>
    <w:p w14:paraId="1CA87364" w14:textId="7201FBB8" w:rsidR="00E45382" w:rsidRPr="007908B7" w:rsidRDefault="00E45382" w:rsidP="00E45382">
      <w:pPr>
        <w:pStyle w:val="ListParagraph"/>
        <w:numPr>
          <w:ilvl w:val="0"/>
          <w:numId w:val="3"/>
        </w:numPr>
        <w:spacing w:after="0"/>
        <w:jc w:val="both"/>
        <w:rPr>
          <w:rFonts w:ascii="Calibri" w:hAnsi="Calibri" w:cs="Calibri"/>
        </w:rPr>
      </w:pPr>
      <w:r w:rsidRPr="007908B7">
        <w:rPr>
          <w:rFonts w:ascii="Calibri" w:hAnsi="Calibri" w:cs="Calibri"/>
        </w:rPr>
        <w:t>Experience preparing, auditing, analysing or evaluating financial statements that present a breadth and level of complexity of accounting issues that are generally comparable to the breadth and complexity of issues that can reasonably be expected to be raised by the HRB's financial statements, or experience actively supervising one or more persons engaged in such activities</w:t>
      </w:r>
      <w:r w:rsidR="000E72C9" w:rsidRPr="007908B7">
        <w:rPr>
          <w:rFonts w:ascii="Calibri" w:hAnsi="Calibri" w:cs="Calibri"/>
        </w:rPr>
        <w:t>,</w:t>
      </w:r>
    </w:p>
    <w:p w14:paraId="055F9202" w14:textId="35CD96CE" w:rsidR="00E45382" w:rsidRPr="007908B7" w:rsidRDefault="00E45382" w:rsidP="00E45382">
      <w:pPr>
        <w:pStyle w:val="ListParagraph"/>
        <w:numPr>
          <w:ilvl w:val="0"/>
          <w:numId w:val="3"/>
        </w:numPr>
        <w:spacing w:after="0"/>
        <w:jc w:val="both"/>
        <w:rPr>
          <w:rFonts w:ascii="Calibri" w:hAnsi="Calibri" w:cs="Calibri"/>
        </w:rPr>
      </w:pPr>
      <w:r w:rsidRPr="007908B7">
        <w:rPr>
          <w:rFonts w:ascii="Calibri" w:hAnsi="Calibri" w:cs="Calibri"/>
        </w:rPr>
        <w:t>An understanding of best practice risk management and public sector corporate governance</w:t>
      </w:r>
      <w:r w:rsidR="000E72C9" w:rsidRPr="007908B7">
        <w:rPr>
          <w:rFonts w:ascii="Calibri" w:hAnsi="Calibri" w:cs="Calibri"/>
        </w:rPr>
        <w:t>,</w:t>
      </w:r>
    </w:p>
    <w:p w14:paraId="3E70FF90" w14:textId="712692B6" w:rsidR="00E45382" w:rsidRPr="007908B7" w:rsidRDefault="00E45382" w:rsidP="00E45382">
      <w:pPr>
        <w:pStyle w:val="ListParagraph"/>
        <w:numPr>
          <w:ilvl w:val="0"/>
          <w:numId w:val="3"/>
        </w:numPr>
        <w:spacing w:after="0"/>
        <w:ind w:left="714" w:hanging="357"/>
        <w:jc w:val="both"/>
        <w:rPr>
          <w:rFonts w:ascii="Calibri" w:hAnsi="Calibri" w:cs="Calibri"/>
        </w:rPr>
      </w:pPr>
      <w:r w:rsidRPr="007908B7">
        <w:rPr>
          <w:rFonts w:ascii="Calibri" w:hAnsi="Calibri" w:cs="Calibri"/>
        </w:rPr>
        <w:t>An understanding of internal controls and the roles of internal and external auditors</w:t>
      </w:r>
      <w:r w:rsidR="000E72C9" w:rsidRPr="007908B7">
        <w:rPr>
          <w:rFonts w:ascii="Calibri" w:hAnsi="Calibri" w:cs="Calibri"/>
        </w:rPr>
        <w:t>, and</w:t>
      </w:r>
    </w:p>
    <w:p w14:paraId="100910EE" w14:textId="7528992A" w:rsidR="00E45382" w:rsidRPr="007908B7" w:rsidRDefault="00E45382" w:rsidP="00E45382">
      <w:pPr>
        <w:pStyle w:val="ListParagraph"/>
        <w:numPr>
          <w:ilvl w:val="0"/>
          <w:numId w:val="3"/>
        </w:numPr>
        <w:spacing w:after="0"/>
        <w:jc w:val="both"/>
        <w:rPr>
          <w:rFonts w:ascii="Calibri" w:hAnsi="Calibri" w:cs="Calibri"/>
        </w:rPr>
      </w:pPr>
      <w:r w:rsidRPr="007908B7">
        <w:rPr>
          <w:rFonts w:ascii="Calibri" w:hAnsi="Calibri" w:cs="Calibri"/>
        </w:rPr>
        <w:t>An understanding of Audit and Risk Committee functions</w:t>
      </w:r>
      <w:r w:rsidR="000E72C9" w:rsidRPr="007908B7">
        <w:rPr>
          <w:rFonts w:ascii="Calibri" w:hAnsi="Calibri" w:cs="Calibri"/>
        </w:rPr>
        <w:t>.</w:t>
      </w:r>
    </w:p>
    <w:p w14:paraId="46DB373A" w14:textId="77777777" w:rsidR="00E45382" w:rsidRPr="007908B7" w:rsidRDefault="00E45382" w:rsidP="00E45382">
      <w:pPr>
        <w:spacing w:after="0"/>
        <w:rPr>
          <w:rFonts w:ascii="Calibri" w:hAnsi="Calibri" w:cs="Calibri"/>
        </w:rPr>
      </w:pPr>
    </w:p>
    <w:p w14:paraId="62E291D2" w14:textId="0005BCC5" w:rsidR="00E45382" w:rsidRPr="007908B7" w:rsidRDefault="000E72C9" w:rsidP="00E45382">
      <w:pPr>
        <w:autoSpaceDE w:val="0"/>
        <w:autoSpaceDN w:val="0"/>
        <w:adjustRightInd w:val="0"/>
        <w:spacing w:after="0" w:line="240" w:lineRule="auto"/>
        <w:jc w:val="both"/>
        <w:rPr>
          <w:rFonts w:ascii="Calibri" w:hAnsi="Calibri" w:cs="Calibri"/>
          <w:lang w:val="en-GB"/>
        </w:rPr>
      </w:pPr>
      <w:r w:rsidRPr="007908B7">
        <w:rPr>
          <w:rFonts w:ascii="Calibri" w:hAnsi="Calibri" w:cs="Calibri"/>
          <w:lang w:val="en-GB"/>
        </w:rPr>
        <w:t>It is expected that the person will h</w:t>
      </w:r>
      <w:r w:rsidR="00E45382" w:rsidRPr="007908B7">
        <w:rPr>
          <w:rFonts w:ascii="Calibri" w:hAnsi="Calibri" w:cs="Calibri"/>
          <w:lang w:val="en-GB"/>
        </w:rPr>
        <w:t>ave acquired the attributes listed above through any one or more of the following means:</w:t>
      </w:r>
    </w:p>
    <w:p w14:paraId="290118C1" w14:textId="77777777" w:rsidR="00E45382" w:rsidRPr="007908B7" w:rsidRDefault="00E45382" w:rsidP="00E45382">
      <w:pPr>
        <w:pStyle w:val="ListParagraph"/>
        <w:numPr>
          <w:ilvl w:val="0"/>
          <w:numId w:val="3"/>
        </w:numPr>
        <w:spacing w:after="0"/>
        <w:jc w:val="both"/>
        <w:rPr>
          <w:rFonts w:ascii="Calibri" w:hAnsi="Calibri" w:cs="Calibri"/>
        </w:rPr>
      </w:pPr>
      <w:r w:rsidRPr="007908B7">
        <w:rPr>
          <w:rFonts w:ascii="Calibri" w:hAnsi="Calibri" w:cs="Calibri"/>
        </w:rPr>
        <w:t xml:space="preserve">education and experience as a principal financial officer, principal accounting officer, controller, accountant or auditor or experience in one or more positions that involve the performance of similar </w:t>
      </w:r>
      <w:proofErr w:type="gramStart"/>
      <w:r w:rsidRPr="007908B7">
        <w:rPr>
          <w:rFonts w:ascii="Calibri" w:hAnsi="Calibri" w:cs="Calibri"/>
        </w:rPr>
        <w:t>functions;</w:t>
      </w:r>
      <w:proofErr w:type="gramEnd"/>
      <w:r w:rsidRPr="007908B7">
        <w:rPr>
          <w:rFonts w:ascii="Calibri" w:hAnsi="Calibri" w:cs="Calibri"/>
        </w:rPr>
        <w:t xml:space="preserve"> </w:t>
      </w:r>
    </w:p>
    <w:p w14:paraId="2A1F7A6F" w14:textId="77777777" w:rsidR="00E45382" w:rsidRPr="007908B7" w:rsidRDefault="00E45382" w:rsidP="00E45382">
      <w:pPr>
        <w:pStyle w:val="ListParagraph"/>
        <w:numPr>
          <w:ilvl w:val="0"/>
          <w:numId w:val="3"/>
        </w:numPr>
        <w:spacing w:after="0"/>
        <w:jc w:val="both"/>
        <w:rPr>
          <w:rFonts w:ascii="Calibri" w:hAnsi="Calibri" w:cs="Calibri"/>
        </w:rPr>
      </w:pPr>
      <w:r w:rsidRPr="007908B7">
        <w:rPr>
          <w:rFonts w:ascii="Calibri" w:hAnsi="Calibri" w:cs="Calibri"/>
        </w:rPr>
        <w:t xml:space="preserve">experience overseeing or assessing the performance of companies or state bodies with respect to the preparation of financial statements; risk management and governance or audit or other relevant experience. </w:t>
      </w:r>
    </w:p>
    <w:p w14:paraId="26AA2498" w14:textId="77777777" w:rsidR="00E45382" w:rsidRPr="007908B7" w:rsidRDefault="00E45382" w:rsidP="00E45382">
      <w:pPr>
        <w:autoSpaceDE w:val="0"/>
        <w:autoSpaceDN w:val="0"/>
        <w:adjustRightInd w:val="0"/>
        <w:spacing w:after="0" w:line="240" w:lineRule="auto"/>
        <w:jc w:val="both"/>
        <w:rPr>
          <w:rFonts w:ascii="Calibri" w:hAnsi="Calibri" w:cs="Calibri"/>
        </w:rPr>
      </w:pPr>
    </w:p>
    <w:p w14:paraId="684A97D5" w14:textId="77777777" w:rsidR="00E45382" w:rsidRPr="007908B7" w:rsidRDefault="00E45382" w:rsidP="00E45382">
      <w:pPr>
        <w:pStyle w:val="ListParagraph"/>
        <w:numPr>
          <w:ilvl w:val="0"/>
          <w:numId w:val="1"/>
        </w:numPr>
        <w:spacing w:after="0"/>
        <w:ind w:left="714" w:hanging="357"/>
        <w:rPr>
          <w:rFonts w:ascii="Calibri" w:hAnsi="Calibri" w:cs="Calibri"/>
          <w:b/>
          <w:color w:val="0070C0"/>
        </w:rPr>
      </w:pPr>
      <w:r w:rsidRPr="007908B7">
        <w:rPr>
          <w:rFonts w:ascii="Calibri" w:hAnsi="Calibri" w:cs="Calibri"/>
          <w:b/>
          <w:color w:val="0070C0"/>
        </w:rPr>
        <w:t>Conflict of Interest</w:t>
      </w:r>
    </w:p>
    <w:p w14:paraId="10AFC490" w14:textId="77777777" w:rsidR="00E45382" w:rsidRPr="007908B7" w:rsidRDefault="00E45382" w:rsidP="00E45382">
      <w:pPr>
        <w:autoSpaceDE w:val="0"/>
        <w:autoSpaceDN w:val="0"/>
        <w:adjustRightInd w:val="0"/>
        <w:spacing w:after="0"/>
        <w:jc w:val="both"/>
        <w:rPr>
          <w:rFonts w:ascii="Calibri" w:hAnsi="Calibri" w:cs="Calibri"/>
          <w:lang w:val="en-GB"/>
        </w:rPr>
      </w:pPr>
      <w:r w:rsidRPr="007908B7">
        <w:rPr>
          <w:rFonts w:ascii="Calibri" w:hAnsi="Calibri" w:cs="Calibri"/>
        </w:rPr>
        <w:t xml:space="preserve">The Committee member will receive remuneration as set out above but may not accept any other consulting or advisory or compensatory fees from the HRB.  Prohibited compensation includes that received for </w:t>
      </w:r>
      <w:r w:rsidRPr="007908B7">
        <w:rPr>
          <w:rFonts w:ascii="Calibri" w:hAnsi="Calibri" w:cs="Calibri"/>
          <w:lang w:val="en-GB"/>
        </w:rPr>
        <w:t>services rendered by a law firm, accounting firm,</w:t>
      </w:r>
      <w:r w:rsidRPr="007908B7">
        <w:rPr>
          <w:rFonts w:ascii="Calibri" w:hAnsi="Calibri" w:cs="Calibri"/>
        </w:rPr>
        <w:t xml:space="preserve"> </w:t>
      </w:r>
      <w:r w:rsidRPr="007908B7">
        <w:rPr>
          <w:rFonts w:ascii="Calibri" w:hAnsi="Calibri" w:cs="Calibri"/>
          <w:lang w:val="en-GB"/>
        </w:rPr>
        <w:t>consulting firm or similar entity</w:t>
      </w:r>
      <w:r w:rsidRPr="007908B7">
        <w:rPr>
          <w:rFonts w:ascii="Calibri" w:hAnsi="Calibri" w:cs="Calibri"/>
        </w:rPr>
        <w:t xml:space="preserve"> </w:t>
      </w:r>
      <w:r w:rsidRPr="007908B7">
        <w:rPr>
          <w:rFonts w:ascii="Calibri" w:hAnsi="Calibri" w:cs="Calibri"/>
          <w:lang w:val="en-GB"/>
        </w:rPr>
        <w:t>in which the Audit and Risk Committee member (or a member of his or her immediate family) is a partner,</w:t>
      </w:r>
      <w:r w:rsidRPr="007908B7">
        <w:rPr>
          <w:rFonts w:ascii="Calibri" w:hAnsi="Calibri" w:cs="Calibri"/>
        </w:rPr>
        <w:t xml:space="preserve"> </w:t>
      </w:r>
      <w:r w:rsidRPr="007908B7">
        <w:rPr>
          <w:rFonts w:ascii="Calibri" w:hAnsi="Calibri" w:cs="Calibri"/>
          <w:lang w:val="en-GB"/>
        </w:rPr>
        <w:t xml:space="preserve">executive officer, or the equivalent.  </w:t>
      </w:r>
    </w:p>
    <w:p w14:paraId="4214774B" w14:textId="77777777" w:rsidR="00E45382" w:rsidRPr="007908B7" w:rsidRDefault="00E45382" w:rsidP="00E45382">
      <w:pPr>
        <w:autoSpaceDE w:val="0"/>
        <w:autoSpaceDN w:val="0"/>
        <w:adjustRightInd w:val="0"/>
        <w:spacing w:after="0"/>
        <w:jc w:val="both"/>
        <w:rPr>
          <w:rFonts w:ascii="Calibri" w:hAnsi="Calibri" w:cs="Calibri"/>
          <w:lang w:val="en-GB"/>
        </w:rPr>
      </w:pPr>
    </w:p>
    <w:p w14:paraId="26314DD1" w14:textId="77777777" w:rsidR="00E45382" w:rsidRDefault="00E45382" w:rsidP="00E45382">
      <w:pPr>
        <w:autoSpaceDE w:val="0"/>
        <w:autoSpaceDN w:val="0"/>
        <w:adjustRightInd w:val="0"/>
        <w:spacing w:after="0"/>
        <w:jc w:val="both"/>
        <w:rPr>
          <w:rFonts w:ascii="Calibri" w:hAnsi="Calibri" w:cs="Calibri"/>
        </w:rPr>
      </w:pPr>
      <w:r w:rsidRPr="007908B7">
        <w:rPr>
          <w:rFonts w:ascii="Calibri" w:hAnsi="Calibri" w:cs="Calibri"/>
          <w:lang w:val="en-GB"/>
        </w:rPr>
        <w:t xml:space="preserve">Members of the HRB Audit and Risk Committee are </w:t>
      </w:r>
      <w:r w:rsidRPr="007908B7">
        <w:rPr>
          <w:rFonts w:ascii="Calibri" w:hAnsi="Calibri" w:cs="Calibri"/>
        </w:rPr>
        <w:t>required to declare any potential conflict of interest with any of the business items on the agenda for Audit and Risk Committee meetings and complete an annual Register of Interests return.</w:t>
      </w:r>
    </w:p>
    <w:p w14:paraId="2F8FF882" w14:textId="77777777" w:rsidR="005E4110" w:rsidRPr="007908B7" w:rsidRDefault="005E4110" w:rsidP="00E45382">
      <w:pPr>
        <w:autoSpaceDE w:val="0"/>
        <w:autoSpaceDN w:val="0"/>
        <w:adjustRightInd w:val="0"/>
        <w:spacing w:after="0"/>
        <w:jc w:val="both"/>
        <w:rPr>
          <w:rFonts w:ascii="Calibri" w:hAnsi="Calibri" w:cs="Calibri"/>
          <w:lang w:val="en-GB"/>
        </w:rPr>
      </w:pPr>
    </w:p>
    <w:p w14:paraId="090BF41D" w14:textId="07C93CCA" w:rsidR="009B0963" w:rsidRPr="007908B7" w:rsidRDefault="009B0963" w:rsidP="003E6AEF">
      <w:pPr>
        <w:jc w:val="both"/>
        <w:rPr>
          <w:rFonts w:ascii="Calibri" w:hAnsi="Calibri" w:cs="Calibri"/>
        </w:rPr>
      </w:pPr>
      <w:r w:rsidRPr="005E4110">
        <w:rPr>
          <w:rFonts w:ascii="Calibri" w:hAnsi="Calibri" w:cs="Calibri"/>
          <w:b/>
          <w:bCs/>
        </w:rPr>
        <w:t>CLOSING DATE</w:t>
      </w:r>
      <w:r w:rsidR="005E4110">
        <w:rPr>
          <w:rFonts w:ascii="Calibri" w:hAnsi="Calibri" w:cs="Calibri"/>
        </w:rPr>
        <w:t xml:space="preserve"> for applications</w:t>
      </w:r>
      <w:r>
        <w:rPr>
          <w:rFonts w:ascii="Calibri" w:hAnsi="Calibri" w:cs="Calibri"/>
        </w:rPr>
        <w:t xml:space="preserve">: </w:t>
      </w:r>
      <w:r w:rsidR="00E70091">
        <w:rPr>
          <w:rFonts w:ascii="Calibri" w:hAnsi="Calibri" w:cs="Calibri"/>
          <w:lang w:val="en-GB"/>
        </w:rPr>
        <w:t xml:space="preserve">November 15, 2024. </w:t>
      </w:r>
      <w:r w:rsidR="00FE6761">
        <w:rPr>
          <w:rFonts w:ascii="Calibri" w:hAnsi="Calibri" w:cs="Calibri"/>
          <w:lang w:val="en-GB"/>
        </w:rPr>
        <w:t>Please submit</w:t>
      </w:r>
      <w:r w:rsidR="0071635D">
        <w:rPr>
          <w:rFonts w:ascii="Calibri" w:hAnsi="Calibri" w:cs="Calibri"/>
          <w:lang w:val="en-GB"/>
        </w:rPr>
        <w:t xml:space="preserve"> your CV, and</w:t>
      </w:r>
      <w:r w:rsidR="00FE6761">
        <w:rPr>
          <w:rFonts w:ascii="Calibri" w:hAnsi="Calibri" w:cs="Calibri"/>
          <w:lang w:val="en-GB"/>
        </w:rPr>
        <w:t xml:space="preserve"> a </w:t>
      </w:r>
      <w:r w:rsidR="002332F3">
        <w:rPr>
          <w:rFonts w:ascii="Calibri" w:hAnsi="Calibri" w:cs="Calibri"/>
          <w:lang w:val="en-GB"/>
        </w:rPr>
        <w:t>c</w:t>
      </w:r>
      <w:r w:rsidR="00FE6761">
        <w:rPr>
          <w:rFonts w:ascii="Calibri" w:hAnsi="Calibri" w:cs="Calibri"/>
          <w:lang w:val="en-GB"/>
        </w:rPr>
        <w:t xml:space="preserve">over </w:t>
      </w:r>
      <w:r w:rsidR="002332F3">
        <w:rPr>
          <w:rFonts w:ascii="Calibri" w:hAnsi="Calibri" w:cs="Calibri"/>
          <w:lang w:val="en-GB"/>
        </w:rPr>
        <w:t>l</w:t>
      </w:r>
      <w:r w:rsidR="00FE6761">
        <w:rPr>
          <w:rFonts w:ascii="Calibri" w:hAnsi="Calibri" w:cs="Calibri"/>
          <w:lang w:val="en-GB"/>
        </w:rPr>
        <w:t>etter setting out how you are suitable for this role</w:t>
      </w:r>
      <w:r w:rsidR="00517F93">
        <w:rPr>
          <w:rFonts w:ascii="Calibri" w:hAnsi="Calibri" w:cs="Calibri"/>
          <w:lang w:val="en-GB"/>
        </w:rPr>
        <w:t>,</w:t>
      </w:r>
      <w:r w:rsidR="00FF4F70">
        <w:rPr>
          <w:rFonts w:ascii="Calibri" w:hAnsi="Calibri" w:cs="Calibri"/>
          <w:lang w:val="en-GB"/>
        </w:rPr>
        <w:t xml:space="preserve"> </w:t>
      </w:r>
      <w:r w:rsidR="002332F3">
        <w:rPr>
          <w:rFonts w:ascii="Calibri" w:hAnsi="Calibri" w:cs="Calibri"/>
          <w:lang w:val="en-GB"/>
        </w:rPr>
        <w:t>to Lorna Purcell, Head of Governance</w:t>
      </w:r>
      <w:r w:rsidR="005D07B1">
        <w:rPr>
          <w:rFonts w:ascii="Calibri" w:hAnsi="Calibri" w:cs="Calibri"/>
          <w:lang w:val="en-GB"/>
        </w:rPr>
        <w:t xml:space="preserve"> at</w:t>
      </w:r>
      <w:r w:rsidR="002332F3">
        <w:rPr>
          <w:rFonts w:ascii="Calibri" w:hAnsi="Calibri" w:cs="Calibri"/>
          <w:lang w:val="en-GB"/>
        </w:rPr>
        <w:t xml:space="preserve"> </w:t>
      </w:r>
      <w:hyperlink r:id="rId13" w:history="1">
        <w:r w:rsidR="002332F3" w:rsidRPr="009E1646">
          <w:rPr>
            <w:rStyle w:val="Hyperlink"/>
            <w:rFonts w:ascii="Calibri" w:hAnsi="Calibri" w:cs="Calibri"/>
            <w:lang w:val="en-GB"/>
          </w:rPr>
          <w:t>LPurcell@hrb.ie</w:t>
        </w:r>
      </w:hyperlink>
      <w:r w:rsidR="002332F3">
        <w:rPr>
          <w:rFonts w:ascii="Calibri" w:hAnsi="Calibri" w:cs="Calibri"/>
          <w:lang w:val="en-GB"/>
        </w:rPr>
        <w:t xml:space="preserve">. </w:t>
      </w:r>
      <w:r w:rsidR="00FF4F70">
        <w:rPr>
          <w:rFonts w:ascii="Calibri" w:hAnsi="Calibri" w:cs="Calibri"/>
          <w:lang w:val="en-GB"/>
        </w:rPr>
        <w:t xml:space="preserve">All applications will be treated in confidence. </w:t>
      </w:r>
    </w:p>
    <w:sectPr w:rsidR="009B0963" w:rsidRPr="007908B7" w:rsidSect="00E45382">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C7594" w14:textId="77777777" w:rsidR="00C925D3" w:rsidRDefault="00C925D3">
      <w:pPr>
        <w:spacing w:after="0" w:line="240" w:lineRule="auto"/>
      </w:pPr>
      <w:r>
        <w:separator/>
      </w:r>
    </w:p>
  </w:endnote>
  <w:endnote w:type="continuationSeparator" w:id="0">
    <w:p w14:paraId="618CEC38" w14:textId="77777777" w:rsidR="00C925D3" w:rsidRDefault="00C92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587805"/>
      <w:docPartObj>
        <w:docPartGallery w:val="Page Numbers (Bottom of Page)"/>
        <w:docPartUnique/>
      </w:docPartObj>
    </w:sdtPr>
    <w:sdtEndPr>
      <w:rPr>
        <w:noProof/>
      </w:rPr>
    </w:sdtEndPr>
    <w:sdtContent>
      <w:p w14:paraId="11692A7A" w14:textId="77777777" w:rsidR="00582EA5" w:rsidRDefault="00582E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8F38A1" w14:textId="77777777" w:rsidR="00582EA5" w:rsidRDefault="00582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7AB519" w14:textId="77777777" w:rsidR="00C925D3" w:rsidRDefault="00C925D3">
      <w:pPr>
        <w:spacing w:after="0" w:line="240" w:lineRule="auto"/>
      </w:pPr>
      <w:r>
        <w:separator/>
      </w:r>
    </w:p>
  </w:footnote>
  <w:footnote w:type="continuationSeparator" w:id="0">
    <w:p w14:paraId="4EDFA074" w14:textId="77777777" w:rsidR="00C925D3" w:rsidRDefault="00C925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5680C"/>
    <w:multiLevelType w:val="hybridMultilevel"/>
    <w:tmpl w:val="AADC2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B5926"/>
    <w:multiLevelType w:val="hybridMultilevel"/>
    <w:tmpl w:val="BC4E8E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CF02A6D"/>
    <w:multiLevelType w:val="hybridMultilevel"/>
    <w:tmpl w:val="C89CA4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0600764">
    <w:abstractNumId w:val="2"/>
  </w:num>
  <w:num w:numId="2" w16cid:durableId="886330568">
    <w:abstractNumId w:val="1"/>
  </w:num>
  <w:num w:numId="3" w16cid:durableId="1303535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382"/>
    <w:rsid w:val="00012F14"/>
    <w:rsid w:val="000962F9"/>
    <w:rsid w:val="000E72C9"/>
    <w:rsid w:val="00102C7C"/>
    <w:rsid w:val="001A2425"/>
    <w:rsid w:val="002332F3"/>
    <w:rsid w:val="002577F6"/>
    <w:rsid w:val="00306D19"/>
    <w:rsid w:val="00372D1C"/>
    <w:rsid w:val="003E6AEF"/>
    <w:rsid w:val="004C130E"/>
    <w:rsid w:val="00517F93"/>
    <w:rsid w:val="005776F2"/>
    <w:rsid w:val="00582EA5"/>
    <w:rsid w:val="00585D27"/>
    <w:rsid w:val="005D07B1"/>
    <w:rsid w:val="005E4110"/>
    <w:rsid w:val="0071635D"/>
    <w:rsid w:val="007908B7"/>
    <w:rsid w:val="007D60E5"/>
    <w:rsid w:val="00812198"/>
    <w:rsid w:val="008323BE"/>
    <w:rsid w:val="0088681E"/>
    <w:rsid w:val="008B6B02"/>
    <w:rsid w:val="009B0963"/>
    <w:rsid w:val="00A01571"/>
    <w:rsid w:val="00A67C84"/>
    <w:rsid w:val="00AC72AE"/>
    <w:rsid w:val="00AE774B"/>
    <w:rsid w:val="00AF43CB"/>
    <w:rsid w:val="00BC3D19"/>
    <w:rsid w:val="00C40847"/>
    <w:rsid w:val="00C925D3"/>
    <w:rsid w:val="00D06634"/>
    <w:rsid w:val="00D17FED"/>
    <w:rsid w:val="00DE5308"/>
    <w:rsid w:val="00E45382"/>
    <w:rsid w:val="00E45A25"/>
    <w:rsid w:val="00E70091"/>
    <w:rsid w:val="00FE6761"/>
    <w:rsid w:val="00FF4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DCA64"/>
  <w15:chartTrackingRefBased/>
  <w15:docId w15:val="{F97F9750-FD8A-4D4D-A36A-4DE2047E7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82"/>
    <w:pPr>
      <w:spacing w:after="200" w:line="276" w:lineRule="auto"/>
    </w:pPr>
    <w:rPr>
      <w:kern w:val="0"/>
      <w:lang w:val="en-IE"/>
      <w14:ligatures w14:val="none"/>
    </w:rPr>
  </w:style>
  <w:style w:type="paragraph" w:styleId="Heading1">
    <w:name w:val="heading 1"/>
    <w:basedOn w:val="Normal"/>
    <w:next w:val="Normal"/>
    <w:link w:val="Heading1Char"/>
    <w:uiPriority w:val="9"/>
    <w:qFormat/>
    <w:rsid w:val="00E453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53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53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53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53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53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3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3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3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3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53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53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53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53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53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3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3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382"/>
    <w:rPr>
      <w:rFonts w:eastAsiaTheme="majorEastAsia" w:cstheme="majorBidi"/>
      <w:color w:val="272727" w:themeColor="text1" w:themeTint="D8"/>
    </w:rPr>
  </w:style>
  <w:style w:type="paragraph" w:styleId="Title">
    <w:name w:val="Title"/>
    <w:basedOn w:val="Normal"/>
    <w:next w:val="Normal"/>
    <w:link w:val="TitleChar"/>
    <w:uiPriority w:val="10"/>
    <w:qFormat/>
    <w:rsid w:val="00E453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3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3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3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382"/>
    <w:pPr>
      <w:spacing w:before="160"/>
      <w:jc w:val="center"/>
    </w:pPr>
    <w:rPr>
      <w:i/>
      <w:iCs/>
      <w:color w:val="404040" w:themeColor="text1" w:themeTint="BF"/>
    </w:rPr>
  </w:style>
  <w:style w:type="character" w:customStyle="1" w:styleId="QuoteChar">
    <w:name w:val="Quote Char"/>
    <w:basedOn w:val="DefaultParagraphFont"/>
    <w:link w:val="Quote"/>
    <w:uiPriority w:val="29"/>
    <w:rsid w:val="00E45382"/>
    <w:rPr>
      <w:i/>
      <w:iCs/>
      <w:color w:val="404040" w:themeColor="text1" w:themeTint="BF"/>
    </w:rPr>
  </w:style>
  <w:style w:type="paragraph" w:styleId="ListParagraph">
    <w:name w:val="List Paragraph"/>
    <w:basedOn w:val="Normal"/>
    <w:uiPriority w:val="34"/>
    <w:qFormat/>
    <w:rsid w:val="00E45382"/>
    <w:pPr>
      <w:ind w:left="720"/>
      <w:contextualSpacing/>
    </w:pPr>
  </w:style>
  <w:style w:type="character" w:styleId="IntenseEmphasis">
    <w:name w:val="Intense Emphasis"/>
    <w:basedOn w:val="DefaultParagraphFont"/>
    <w:uiPriority w:val="21"/>
    <w:qFormat/>
    <w:rsid w:val="00E45382"/>
    <w:rPr>
      <w:i/>
      <w:iCs/>
      <w:color w:val="0F4761" w:themeColor="accent1" w:themeShade="BF"/>
    </w:rPr>
  </w:style>
  <w:style w:type="paragraph" w:styleId="IntenseQuote">
    <w:name w:val="Intense Quote"/>
    <w:basedOn w:val="Normal"/>
    <w:next w:val="Normal"/>
    <w:link w:val="IntenseQuoteChar"/>
    <w:uiPriority w:val="30"/>
    <w:qFormat/>
    <w:rsid w:val="00E453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5382"/>
    <w:rPr>
      <w:i/>
      <w:iCs/>
      <w:color w:val="0F4761" w:themeColor="accent1" w:themeShade="BF"/>
    </w:rPr>
  </w:style>
  <w:style w:type="character" w:styleId="IntenseReference">
    <w:name w:val="Intense Reference"/>
    <w:basedOn w:val="DefaultParagraphFont"/>
    <w:uiPriority w:val="32"/>
    <w:qFormat/>
    <w:rsid w:val="00E45382"/>
    <w:rPr>
      <w:b/>
      <w:bCs/>
      <w:smallCaps/>
      <w:color w:val="0F4761" w:themeColor="accent1" w:themeShade="BF"/>
      <w:spacing w:val="5"/>
    </w:rPr>
  </w:style>
  <w:style w:type="paragraph" w:styleId="Footer">
    <w:name w:val="footer"/>
    <w:basedOn w:val="Normal"/>
    <w:link w:val="FooterChar"/>
    <w:uiPriority w:val="99"/>
    <w:unhideWhenUsed/>
    <w:rsid w:val="00E453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5382"/>
    <w:rPr>
      <w:kern w:val="0"/>
      <w:lang w:val="en-IE"/>
      <w14:ligatures w14:val="none"/>
    </w:rPr>
  </w:style>
  <w:style w:type="character" w:styleId="Hyperlink">
    <w:name w:val="Hyperlink"/>
    <w:basedOn w:val="DefaultParagraphFont"/>
    <w:uiPriority w:val="99"/>
    <w:unhideWhenUsed/>
    <w:rsid w:val="00E45382"/>
    <w:rPr>
      <w:color w:val="467886" w:themeColor="hyperlink"/>
      <w:u w:val="single"/>
    </w:rPr>
  </w:style>
  <w:style w:type="paragraph" w:customStyle="1" w:styleId="Default">
    <w:name w:val="Default"/>
    <w:rsid w:val="00E45382"/>
    <w:pPr>
      <w:autoSpaceDE w:val="0"/>
      <w:autoSpaceDN w:val="0"/>
      <w:adjustRightInd w:val="0"/>
      <w:spacing w:after="0" w:line="240" w:lineRule="auto"/>
    </w:pPr>
    <w:rPr>
      <w:rFonts w:ascii="Arial" w:hAnsi="Arial" w:cs="Arial"/>
      <w:color w:val="000000"/>
      <w:kern w:val="0"/>
      <w:sz w:val="24"/>
      <w:szCs w:val="24"/>
      <w14:ligatures w14:val="none"/>
    </w:rPr>
  </w:style>
  <w:style w:type="paragraph" w:styleId="Revision">
    <w:name w:val="Revision"/>
    <w:hidden/>
    <w:uiPriority w:val="99"/>
    <w:semiHidden/>
    <w:rsid w:val="00D17FED"/>
    <w:pPr>
      <w:spacing w:after="0" w:line="240" w:lineRule="auto"/>
    </w:pPr>
    <w:rPr>
      <w:kern w:val="0"/>
      <w:lang w:val="en-IE"/>
      <w14:ligatures w14:val="none"/>
    </w:rPr>
  </w:style>
  <w:style w:type="character" w:styleId="UnresolvedMention">
    <w:name w:val="Unresolved Mention"/>
    <w:basedOn w:val="DefaultParagraphFont"/>
    <w:uiPriority w:val="99"/>
    <w:semiHidden/>
    <w:unhideWhenUsed/>
    <w:rsid w:val="00233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6912038">
      <w:bodyDiv w:val="1"/>
      <w:marLeft w:val="0"/>
      <w:marRight w:val="0"/>
      <w:marTop w:val="0"/>
      <w:marBottom w:val="0"/>
      <w:divBdr>
        <w:top w:val="none" w:sz="0" w:space="0" w:color="auto"/>
        <w:left w:val="none" w:sz="0" w:space="0" w:color="auto"/>
        <w:bottom w:val="none" w:sz="0" w:space="0" w:color="auto"/>
        <w:right w:val="none" w:sz="0" w:space="0" w:color="auto"/>
      </w:divBdr>
    </w:div>
    <w:div w:id="172707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Purcell@hrb.i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rb.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2.jpg@01D412CD.28B4A4F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39D53E903C1C4DA412BEC186BF9574" ma:contentTypeVersion="15" ma:contentTypeDescription="Create a new document." ma:contentTypeScope="" ma:versionID="6ed24e411ca7aed8bbb44777bf7ed370">
  <xsd:schema xmlns:xsd="http://www.w3.org/2001/XMLSchema" xmlns:xs="http://www.w3.org/2001/XMLSchema" xmlns:p="http://schemas.microsoft.com/office/2006/metadata/properties" xmlns:ns2="154ec55a-2caa-43de-bd10-479a76a398ea" xmlns:ns3="1dec2fd3-6f58-46ab-a96e-e85cbcf7f322" targetNamespace="http://schemas.microsoft.com/office/2006/metadata/properties" ma:root="true" ma:fieldsID="9d29cfd2a27f1e07a21cc111cb586ec7" ns2:_="" ns3:_="">
    <xsd:import namespace="154ec55a-2caa-43de-bd10-479a76a398ea"/>
    <xsd:import namespace="1dec2fd3-6f58-46ab-a96e-e85cbcf7f3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ec55a-2caa-43de-bd10-479a76a398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466ae4-4697-44c6-9f9a-3cb9cf09064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ec2fd3-6f58-46ab-a96e-e85cbcf7f32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662810f-d1f2-44a4-8daa-aa1f8d72df4a}" ma:internalName="TaxCatchAll" ma:showField="CatchAllData" ma:web="1dec2fd3-6f58-46ab-a96e-e85cbcf7f32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dec2fd3-6f58-46ab-a96e-e85cbcf7f322" xsi:nil="true"/>
    <lcf76f155ced4ddcb4097134ff3c332f xmlns="154ec55a-2caa-43de-bd10-479a76a398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0489C0-F4A3-415C-A2B2-7A05D97C39E1}"/>
</file>

<file path=customXml/itemProps2.xml><?xml version="1.0" encoding="utf-8"?>
<ds:datastoreItem xmlns:ds="http://schemas.openxmlformats.org/officeDocument/2006/customXml" ds:itemID="{ED3B3CDE-7C01-4BC8-99FD-0BD3CB96A181}">
  <ds:schemaRefs>
    <ds:schemaRef ds:uri="http://schemas.microsoft.com/sharepoint/v3/contenttype/forms"/>
  </ds:schemaRefs>
</ds:datastoreItem>
</file>

<file path=customXml/itemProps3.xml><?xml version="1.0" encoding="utf-8"?>
<ds:datastoreItem xmlns:ds="http://schemas.openxmlformats.org/officeDocument/2006/customXml" ds:itemID="{56A5D56F-D832-4764-A134-0519CE86D7F8}">
  <ds:schemaRefs>
    <ds:schemaRef ds:uri="http://schemas.microsoft.com/office/2006/metadata/properties"/>
    <ds:schemaRef ds:uri="http://schemas.microsoft.com/office/infopath/2007/PartnerControls"/>
    <ds:schemaRef ds:uri="cd433872-ceba-450f-8df1-7bb5cff29ad7"/>
    <ds:schemaRef ds:uri="ff23a0de-2197-4981-9e15-eddf86cc34d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4363</Characters>
  <Application>Microsoft Office Word</Application>
  <DocSecurity>4</DocSecurity>
  <Lines>36</Lines>
  <Paragraphs>10</Paragraphs>
  <ScaleCrop>false</ScaleCrop>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Purcell</dc:creator>
  <cp:keywords/>
  <dc:description/>
  <cp:lastModifiedBy>Lorna Purcell</cp:lastModifiedBy>
  <cp:revision>2</cp:revision>
  <dcterms:created xsi:type="dcterms:W3CDTF">2024-10-29T14:57:00Z</dcterms:created>
  <dcterms:modified xsi:type="dcterms:W3CDTF">2024-10-29T14:57:00Z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0x010100E739D53E903C1C4DA412BEC186BF9574</vt:lpwstr>
  </property>
  <property fmtid="{D5CDD505-2E9C-101B-9397-08002B2CF9AE}" pid="3" name="MediaServiceImageTags">
    <vt:lpwstr/>
  </property>
</Properties>
</file>