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67FC" w14:textId="61ED0128" w:rsidR="008060E2" w:rsidRDefault="00FF74E8" w:rsidP="00B87A7F">
      <w:pPr>
        <w:pStyle w:val="HRBFirstPagetitle"/>
      </w:pPr>
      <w:r>
        <w:drawing>
          <wp:anchor distT="0" distB="0" distL="114300" distR="114300" simplePos="0" relativeHeight="251658240"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11"/>
                    <a:stretch>
                      <a:fillRect/>
                    </a:stretch>
                  </pic:blipFill>
                  <pic:spPr>
                    <a:xfrm>
                      <a:off x="0" y="0"/>
                      <a:ext cx="1256665" cy="1259840"/>
                    </a:xfrm>
                    <a:prstGeom prst="rect">
                      <a:avLst/>
                    </a:prstGeom>
                  </pic:spPr>
                </pic:pic>
              </a:graphicData>
            </a:graphic>
          </wp:anchor>
        </w:drawing>
      </w:r>
    </w:p>
    <w:p w14:paraId="4343137F" w14:textId="6D26B036" w:rsidR="00494F12" w:rsidRPr="00B87A7F" w:rsidRDefault="00CB2E78" w:rsidP="00494F12">
      <w:pPr>
        <w:pStyle w:val="HRBFirstPagetitle"/>
      </w:pPr>
      <w:bookmarkStart w:id="0" w:name="_Toc25484477"/>
      <w:bookmarkStart w:id="1" w:name="_Toc25490853"/>
      <w:r>
        <w:t>Payment of Social Benefits</w:t>
      </w:r>
    </w:p>
    <w:p w14:paraId="7A5E2C9E" w14:textId="77777777" w:rsidR="00274D12" w:rsidRDefault="00274D12" w:rsidP="00274D12">
      <w:pPr>
        <w:pStyle w:val="HRBHeadingL4"/>
        <w:rPr>
          <w:sz w:val="28"/>
          <w:szCs w:val="28"/>
        </w:rPr>
      </w:pPr>
    </w:p>
    <w:p w14:paraId="140B42C3" w14:textId="7628D73E" w:rsidR="00651249" w:rsidRDefault="00651249" w:rsidP="00274D12">
      <w:pPr>
        <w:pStyle w:val="HRBHeadingL4"/>
        <w:rPr>
          <w:sz w:val="28"/>
          <w:szCs w:val="28"/>
        </w:rPr>
      </w:pPr>
      <w:r w:rsidRPr="00CF4D33">
        <w:rPr>
          <w:sz w:val="28"/>
          <w:szCs w:val="28"/>
        </w:rPr>
        <w:t xml:space="preserve">Version </w:t>
      </w:r>
      <w:r w:rsidR="00CB2E78">
        <w:rPr>
          <w:sz w:val="28"/>
          <w:szCs w:val="28"/>
        </w:rPr>
        <w:t>6.0</w:t>
      </w:r>
      <w:r>
        <w:rPr>
          <w:sz w:val="28"/>
          <w:szCs w:val="28"/>
        </w:rPr>
        <w:t xml:space="preserve"> </w:t>
      </w:r>
    </w:p>
    <w:p w14:paraId="6C8CF4B8" w14:textId="01F1FB9F" w:rsidR="00274D12" w:rsidRPr="000E4C82" w:rsidRDefault="00CB2E78" w:rsidP="00274D12">
      <w:pPr>
        <w:pStyle w:val="HRBHeadingL4"/>
        <w:rPr>
          <w:sz w:val="28"/>
          <w:szCs w:val="28"/>
        </w:rPr>
      </w:pPr>
      <w:r w:rsidRPr="00CB2E78">
        <w:rPr>
          <w:sz w:val="28"/>
          <w:szCs w:val="28"/>
          <w:highlight w:val="yellow"/>
        </w:rPr>
        <w:t>DATE 2024</w:t>
      </w:r>
    </w:p>
    <w:p w14:paraId="40A98A76" w14:textId="77777777" w:rsidR="00BD1E43" w:rsidRPr="00F67555" w:rsidRDefault="00BD1E43" w:rsidP="00BD1E43"/>
    <w:p w14:paraId="4331AEE7" w14:textId="77777777" w:rsidR="00BD1E43" w:rsidRDefault="00BD1E43" w:rsidP="00BD1E43">
      <w:pPr>
        <w:pStyle w:val="HRBNOTEXTyellowline"/>
      </w:pPr>
    </w:p>
    <w:p w14:paraId="566A098E" w14:textId="57AE69D7" w:rsidR="00950712" w:rsidRPr="000E4C82" w:rsidRDefault="00950712" w:rsidP="00950712">
      <w:pPr>
        <w:pStyle w:val="HRBHeadingL4"/>
        <w:rPr>
          <w:sz w:val="28"/>
          <w:szCs w:val="28"/>
        </w:rPr>
      </w:pPr>
      <w:r w:rsidRPr="000E4C82">
        <w:rPr>
          <w:sz w:val="28"/>
          <w:szCs w:val="28"/>
        </w:rPr>
        <w:t>Purpose</w:t>
      </w:r>
    </w:p>
    <w:p w14:paraId="49D92489" w14:textId="099066C9" w:rsidR="00CB2E78" w:rsidRDefault="00CB2E78" w:rsidP="00CB2E78">
      <w:pPr>
        <w:rPr>
          <w:rFonts w:cs="Tahoma"/>
          <w:lang w:val="en-GB" w:eastAsia="en-GB"/>
        </w:rPr>
      </w:pPr>
      <w:r w:rsidRPr="00FA07AD">
        <w:rPr>
          <w:rFonts w:cs="Tahoma"/>
          <w:lang w:val="en-GB" w:eastAsia="en-GB"/>
        </w:rPr>
        <w:t xml:space="preserve">This policy refers to periods of statutory leave which qualify for payment of social benefits including maternity leave, paternity leave, adoptive leave, paid sick leave, parental </w:t>
      </w:r>
      <w:proofErr w:type="gramStart"/>
      <w:r w:rsidRPr="00FA07AD">
        <w:rPr>
          <w:rFonts w:cs="Tahoma"/>
          <w:lang w:val="en-GB" w:eastAsia="en-GB"/>
        </w:rPr>
        <w:t>leave</w:t>
      </w:r>
      <w:proofErr w:type="gramEnd"/>
      <w:r w:rsidRPr="00FA07AD">
        <w:rPr>
          <w:rFonts w:cs="Tahoma"/>
          <w:lang w:val="en-GB" w:eastAsia="en-GB"/>
        </w:rPr>
        <w:t xml:space="preserve"> and carer's leave, and applies to all HRB contracts. </w:t>
      </w:r>
    </w:p>
    <w:p w14:paraId="13C11C11" w14:textId="4F841A96" w:rsidR="00CB2E78" w:rsidRDefault="00CB2E78" w:rsidP="00CB2E78">
      <w:pPr>
        <w:rPr>
          <w:rFonts w:cs="Tahoma"/>
          <w:lang w:val="en-GB" w:eastAsia="en-GB"/>
        </w:rPr>
      </w:pPr>
      <w:r w:rsidRPr="004448F1">
        <w:rPr>
          <w:rFonts w:cs="Tahoma"/>
          <w:lang w:val="en-GB" w:eastAsia="en-GB"/>
        </w:rPr>
        <w:t>Information on statutory leave entitlements for employees can be sourced through the Workplace Relations Commission's website, and through the Citizen's Information website. Principal Investigators should familiarise themselves with the statutory leave entitlements including the periods of entitlement, as amended from time to time, as well as the policies in place at the Host Institution.</w:t>
      </w:r>
    </w:p>
    <w:p w14:paraId="725E84AD" w14:textId="77777777" w:rsidR="00CB2E78" w:rsidRDefault="00CB2E78" w:rsidP="00CB2E78">
      <w:pPr>
        <w:rPr>
          <w:rFonts w:cs="Tahoma"/>
          <w:lang w:val="en-GB" w:eastAsia="en-GB"/>
        </w:rPr>
      </w:pPr>
      <w:r w:rsidRPr="00FA07AD">
        <w:rPr>
          <w:rFonts w:cs="Tahoma"/>
          <w:lang w:val="en-GB" w:eastAsia="en-GB"/>
        </w:rPr>
        <w:t xml:space="preserve">The HRB </w:t>
      </w:r>
      <w:r w:rsidRPr="00335AC8">
        <w:rPr>
          <w:rFonts w:cs="Tahoma"/>
          <w:b/>
          <w:bCs/>
          <w:lang w:val="en-GB" w:eastAsia="en-GB"/>
        </w:rPr>
        <w:t>will support</w:t>
      </w:r>
      <w:r w:rsidRPr="00FA07AD">
        <w:rPr>
          <w:rFonts w:cs="Tahoma"/>
          <w:lang w:val="en-GB" w:eastAsia="en-GB"/>
        </w:rPr>
        <w:t xml:space="preserve"> all applicable statutory payments associated with periods of leave including maternity leave, paternity leave, adoptive leave, carer's leave and paid sick leave for people financially supported by the HRB Grants via salaries and stipends. </w:t>
      </w:r>
    </w:p>
    <w:p w14:paraId="2F14CC25" w14:textId="77777777" w:rsidR="00CB2E78" w:rsidRDefault="00CB2E78" w:rsidP="00CB2E78">
      <w:pPr>
        <w:rPr>
          <w:rFonts w:cs="Tahoma"/>
          <w:lang w:val="en-GB" w:eastAsia="en-GB"/>
        </w:rPr>
      </w:pPr>
    </w:p>
    <w:p w14:paraId="5B63847D" w14:textId="1E188D40" w:rsidR="00BD1E43" w:rsidRDefault="00BD1E43" w:rsidP="00BD1E43">
      <w:pPr>
        <w:pStyle w:val="HRBNOTEXTyellowline"/>
      </w:pPr>
    </w:p>
    <w:p w14:paraId="2EEF9F87" w14:textId="297DE08C" w:rsidR="00950712" w:rsidRPr="000E4C82" w:rsidRDefault="00950712" w:rsidP="005A7C0F">
      <w:pPr>
        <w:pStyle w:val="HRBHeadingL4"/>
        <w:rPr>
          <w:sz w:val="28"/>
          <w:szCs w:val="28"/>
        </w:rPr>
      </w:pPr>
      <w:bookmarkStart w:id="2" w:name="_Hlk106973101"/>
      <w:r w:rsidRPr="000E4C82">
        <w:rPr>
          <w:sz w:val="28"/>
          <w:szCs w:val="28"/>
        </w:rPr>
        <w:t xml:space="preserve">Procedure </w:t>
      </w:r>
    </w:p>
    <w:bookmarkEnd w:id="0"/>
    <w:bookmarkEnd w:id="1"/>
    <w:bookmarkEnd w:id="2"/>
    <w:p w14:paraId="515B4079" w14:textId="77777777" w:rsidR="00014B45" w:rsidRPr="009701CC" w:rsidRDefault="003A4E0B" w:rsidP="009701CC">
      <w:pPr>
        <w:spacing w:after="0"/>
        <w:rPr>
          <w:rFonts w:cs="Tahoma"/>
          <w:b/>
          <w:bCs/>
          <w:lang w:val="en-GB" w:eastAsia="en-GB"/>
        </w:rPr>
      </w:pPr>
      <w:r w:rsidRPr="009701CC">
        <w:rPr>
          <w:rFonts w:cs="Tahoma"/>
          <w:lang w:val="en-GB" w:eastAsia="en-GB"/>
        </w:rPr>
        <w:t xml:space="preserve">In the knowledge that HRB will support all applicable statutory payments for people supported by HRB grants via salaries and stipends as outlined in this policy, HRB would ask that </w:t>
      </w:r>
      <w:r w:rsidRPr="009701CC">
        <w:rPr>
          <w:rFonts w:cs="Tahoma"/>
          <w:b/>
          <w:bCs/>
          <w:lang w:val="en-GB" w:eastAsia="en-GB"/>
        </w:rPr>
        <w:t xml:space="preserve">only </w:t>
      </w:r>
      <w:r w:rsidR="00014B45" w:rsidRPr="009701CC">
        <w:rPr>
          <w:rFonts w:cs="Tahoma"/>
          <w:b/>
          <w:bCs/>
          <w:lang w:val="en-GB" w:eastAsia="en-GB"/>
        </w:rPr>
        <w:t xml:space="preserve">the following </w:t>
      </w:r>
      <w:r w:rsidRPr="009701CC">
        <w:rPr>
          <w:rFonts w:cs="Tahoma"/>
          <w:b/>
          <w:bCs/>
          <w:lang w:val="en-GB" w:eastAsia="en-GB"/>
        </w:rPr>
        <w:t xml:space="preserve">requests </w:t>
      </w:r>
      <w:r w:rsidR="00014B45" w:rsidRPr="009701CC">
        <w:rPr>
          <w:rFonts w:cs="Tahoma"/>
          <w:lang w:val="en-GB" w:eastAsia="en-GB"/>
        </w:rPr>
        <w:t>are submitted for approval as they arise</w:t>
      </w:r>
      <w:r w:rsidR="00014B45" w:rsidRPr="009701CC">
        <w:rPr>
          <w:rFonts w:cs="Tahoma"/>
          <w:b/>
          <w:bCs/>
          <w:lang w:val="en-GB" w:eastAsia="en-GB"/>
        </w:rPr>
        <w:t>:</w:t>
      </w:r>
    </w:p>
    <w:p w14:paraId="3AC7A5FA" w14:textId="77777777" w:rsidR="00014B45" w:rsidRPr="009701CC" w:rsidRDefault="003A4E0B" w:rsidP="009701CC">
      <w:pPr>
        <w:pStyle w:val="ListParagraph"/>
        <w:numPr>
          <w:ilvl w:val="0"/>
          <w:numId w:val="44"/>
        </w:numPr>
        <w:spacing w:after="0"/>
        <w:rPr>
          <w:rFonts w:cs="Tahoma"/>
          <w:b/>
          <w:bCs/>
          <w:lang w:val="en-GB" w:eastAsia="en-GB"/>
        </w:rPr>
      </w:pPr>
      <w:r w:rsidRPr="009701CC">
        <w:rPr>
          <w:rFonts w:cs="Tahoma"/>
          <w:b/>
          <w:bCs/>
          <w:lang w:val="en-GB" w:eastAsia="en-GB"/>
        </w:rPr>
        <w:t>where the additional costs to HRB will exceed €20,000</w:t>
      </w:r>
    </w:p>
    <w:p w14:paraId="56FC45F1" w14:textId="0A932301" w:rsidR="00014B45" w:rsidRPr="009701CC" w:rsidRDefault="003A4E0B" w:rsidP="009701CC">
      <w:pPr>
        <w:pStyle w:val="ListParagraph"/>
        <w:numPr>
          <w:ilvl w:val="0"/>
          <w:numId w:val="44"/>
        </w:numPr>
        <w:spacing w:after="0"/>
        <w:rPr>
          <w:rFonts w:cs="Tahoma"/>
          <w:lang w:val="en-GB" w:eastAsia="en-GB"/>
        </w:rPr>
      </w:pPr>
      <w:r w:rsidRPr="009701CC">
        <w:rPr>
          <w:rFonts w:cs="Tahoma"/>
          <w:b/>
          <w:bCs/>
          <w:lang w:val="en-GB" w:eastAsia="en-GB"/>
        </w:rPr>
        <w:t>where an extension to the award may be required</w:t>
      </w:r>
      <w:r w:rsidR="009701CC">
        <w:rPr>
          <w:rFonts w:cs="Tahoma"/>
          <w:b/>
          <w:bCs/>
          <w:lang w:val="en-GB" w:eastAsia="en-GB"/>
        </w:rPr>
        <w:t>.</w:t>
      </w:r>
    </w:p>
    <w:p w14:paraId="4DE3A7BC" w14:textId="77777777" w:rsidR="003A4E0B" w:rsidRPr="009701CC" w:rsidRDefault="003A4E0B" w:rsidP="003A4E0B">
      <w:pPr>
        <w:spacing w:after="0" w:line="240" w:lineRule="auto"/>
        <w:rPr>
          <w:rFonts w:cs="Tahoma"/>
          <w:lang w:val="en-GB" w:eastAsia="en-GB"/>
        </w:rPr>
      </w:pPr>
    </w:p>
    <w:p w14:paraId="00A73476" w14:textId="2F1102DE" w:rsidR="003A4E0B" w:rsidRPr="009701CC" w:rsidRDefault="003A4E0B" w:rsidP="003A4E0B">
      <w:pPr>
        <w:rPr>
          <w:rFonts w:cs="Tahoma"/>
          <w:lang w:val="en-GB" w:eastAsia="en-GB"/>
        </w:rPr>
      </w:pPr>
      <w:r w:rsidRPr="009701CC">
        <w:rPr>
          <w:rFonts w:cs="Tahoma"/>
          <w:lang w:val="en-GB" w:eastAsia="en-GB"/>
        </w:rPr>
        <w:t xml:space="preserve">This is to avoid the administrative burden associated with preparing and processing multiple grant amendment requests for a single grant.  </w:t>
      </w:r>
    </w:p>
    <w:p w14:paraId="30812D73" w14:textId="45F06DCD" w:rsidR="00F87DF5" w:rsidRDefault="00CC6C93" w:rsidP="003A4E0B">
      <w:pPr>
        <w:rPr>
          <w:rFonts w:cs="Tahoma"/>
          <w:lang w:val="en-GB" w:eastAsia="en-GB"/>
        </w:rPr>
      </w:pPr>
      <w:r w:rsidRPr="009701CC">
        <w:rPr>
          <w:rFonts w:cs="Tahoma"/>
          <w:lang w:val="en-GB" w:eastAsia="en-GB"/>
        </w:rPr>
        <w:t>W</w:t>
      </w:r>
      <w:r w:rsidRPr="009701CC">
        <w:rPr>
          <w:rFonts w:cs="Tahoma"/>
          <w:lang w:val="en-GB" w:eastAsia="en-GB"/>
        </w:rPr>
        <w:t xml:space="preserve">here </w:t>
      </w:r>
      <w:r w:rsidRPr="009701CC">
        <w:rPr>
          <w:rFonts w:cs="Tahoma"/>
          <w:lang w:val="en-GB" w:eastAsia="en-GB"/>
        </w:rPr>
        <w:t>an</w:t>
      </w:r>
      <w:r w:rsidRPr="009701CC">
        <w:rPr>
          <w:rFonts w:cs="Tahoma"/>
          <w:lang w:val="en-GB" w:eastAsia="en-GB"/>
        </w:rPr>
        <w:t xml:space="preserve"> award has been made to an individual and</w:t>
      </w:r>
      <w:r w:rsidRPr="009701CC">
        <w:rPr>
          <w:rFonts w:cs="Tahoma"/>
          <w:b/>
          <w:bCs/>
          <w:lang w:val="en-GB" w:eastAsia="en-GB"/>
        </w:rPr>
        <w:t xml:space="preserve"> the leave involves the Grant holder</w:t>
      </w:r>
      <w:r w:rsidRPr="009701CC">
        <w:rPr>
          <w:rFonts w:cs="Tahoma"/>
          <w:lang w:val="en-GB" w:eastAsia="en-GB"/>
        </w:rPr>
        <w:t xml:space="preserve">, we ask that you </w:t>
      </w:r>
      <w:r w:rsidRPr="009701CC">
        <w:rPr>
          <w:rFonts w:cs="Tahoma"/>
          <w:b/>
          <w:bCs/>
          <w:lang w:val="en-GB" w:eastAsia="en-GB"/>
        </w:rPr>
        <w:t>notify the HRB</w:t>
      </w:r>
      <w:r w:rsidRPr="009701CC">
        <w:rPr>
          <w:rFonts w:cs="Tahoma"/>
          <w:lang w:val="en-GB" w:eastAsia="en-GB"/>
        </w:rPr>
        <w:t xml:space="preserve"> </w:t>
      </w:r>
      <w:r w:rsidR="00C202A1" w:rsidRPr="009701CC">
        <w:rPr>
          <w:rFonts w:cs="Tahoma"/>
          <w:lang w:val="en-GB" w:eastAsia="en-GB"/>
        </w:rPr>
        <w:t xml:space="preserve">via GEMs </w:t>
      </w:r>
      <w:r w:rsidRPr="009701CC">
        <w:rPr>
          <w:rFonts w:cs="Tahoma"/>
          <w:lang w:val="en-GB" w:eastAsia="en-GB"/>
        </w:rPr>
        <w:t xml:space="preserve">at the earliest opportunity to discuss </w:t>
      </w:r>
      <w:r w:rsidR="00F87DF5" w:rsidRPr="009701CC">
        <w:rPr>
          <w:rFonts w:cs="Tahoma"/>
          <w:lang w:val="en-GB" w:eastAsia="en-GB"/>
        </w:rPr>
        <w:t xml:space="preserve">the </w:t>
      </w:r>
      <w:r w:rsidRPr="009701CC">
        <w:rPr>
          <w:rFonts w:cs="Tahoma"/>
          <w:lang w:val="en-GB" w:eastAsia="en-GB"/>
        </w:rPr>
        <w:t>potential impact on the Grant.</w:t>
      </w:r>
      <w:r>
        <w:rPr>
          <w:rFonts w:cs="Tahoma"/>
          <w:lang w:val="en-GB" w:eastAsia="en-GB"/>
        </w:rPr>
        <w:t xml:space="preserve"> </w:t>
      </w:r>
    </w:p>
    <w:p w14:paraId="299453E8" w14:textId="6FBC93DB" w:rsidR="003A4E0B" w:rsidRDefault="003A4E0B" w:rsidP="003A4E0B">
      <w:pPr>
        <w:rPr>
          <w:rFonts w:cs="Tahoma"/>
          <w:lang w:val="en-GB" w:eastAsia="en-GB"/>
        </w:rPr>
      </w:pPr>
      <w:r w:rsidRPr="00FA07AD">
        <w:rPr>
          <w:rFonts w:cs="Tahoma"/>
          <w:lang w:val="en-GB" w:eastAsia="en-GB"/>
        </w:rPr>
        <w:lastRenderedPageBreak/>
        <w:t xml:space="preserve">All requests for payment of social benefits must be submitted at the latest </w:t>
      </w:r>
      <w:r w:rsidRPr="009701CC">
        <w:rPr>
          <w:rFonts w:cs="Tahoma"/>
          <w:b/>
          <w:bCs/>
          <w:lang w:val="en-GB" w:eastAsia="en-GB"/>
        </w:rPr>
        <w:t>three months</w:t>
      </w:r>
      <w:r w:rsidRPr="00FA07AD">
        <w:rPr>
          <w:rFonts w:cs="Tahoma"/>
          <w:lang w:val="en-GB" w:eastAsia="en-GB"/>
        </w:rPr>
        <w:t xml:space="preserve"> before the grant End Date.</w:t>
      </w:r>
    </w:p>
    <w:p w14:paraId="7B9F0FFF" w14:textId="5D2672F6" w:rsidR="000F4A8A" w:rsidRPr="000F4A8A" w:rsidRDefault="000F4A8A" w:rsidP="000F4A8A">
      <w:pPr>
        <w:shd w:val="clear" w:color="auto" w:fill="FFFFFF"/>
        <w:spacing w:after="390"/>
        <w:rPr>
          <w:rFonts w:cstheme="minorHAnsi"/>
          <w:shd w:val="clear" w:color="auto" w:fill="FDFDFD"/>
        </w:rPr>
      </w:pPr>
      <w:r w:rsidRPr="000F4A8A">
        <w:rPr>
          <w:rFonts w:cstheme="minorHAnsi"/>
          <w:shd w:val="clear" w:color="auto" w:fill="FDFDFD"/>
        </w:rPr>
        <w:t>All notifications of periods of statutory leave which qualify for payment of social benefits maternity leave, adoptive leave and paid sick leave and (where required) requests for extensions to a grant (along with a HRB Grant Amendment Request Form) should be sent to: grantchanges@hrb.i</w:t>
      </w:r>
      <w:r>
        <w:rPr>
          <w:rFonts w:cstheme="minorHAnsi"/>
          <w:shd w:val="clear" w:color="auto" w:fill="FDFDFD"/>
        </w:rPr>
        <w:t>e</w:t>
      </w:r>
    </w:p>
    <w:p w14:paraId="33570CB8" w14:textId="231CD6EB" w:rsidR="005C2E78" w:rsidRPr="00AE7D31" w:rsidRDefault="005C2E78" w:rsidP="005A7C0F">
      <w:pPr>
        <w:shd w:val="clear" w:color="auto" w:fill="FFFFFF"/>
        <w:spacing w:after="390"/>
        <w:rPr>
          <w:rFonts w:cstheme="minorHAnsi"/>
          <w:sz w:val="20"/>
          <w:szCs w:val="20"/>
          <w:shd w:val="clear" w:color="auto" w:fill="FFFFFF"/>
        </w:rPr>
      </w:pPr>
      <w:r w:rsidRPr="00AE7D31">
        <w:t xml:space="preserve">The HRB </w:t>
      </w:r>
      <w:r w:rsidRPr="00AE7D31">
        <w:rPr>
          <w:b/>
          <w:bCs/>
        </w:rPr>
        <w:t>will not</w:t>
      </w:r>
      <w:r w:rsidRPr="00AE7D31">
        <w:t xml:space="preserve"> process any variation requests which are submitted after the end date of the grant. In such cases, all HRB funding remaining unspent at the end date of the grant must be returned to the HRB</w:t>
      </w:r>
      <w:r w:rsidR="00E013F6">
        <w:t>.</w:t>
      </w:r>
    </w:p>
    <w:p w14:paraId="5555506B" w14:textId="71F37AE9" w:rsidR="005A7C0F" w:rsidRDefault="000F4A8A" w:rsidP="005A7C0F">
      <w:pPr>
        <w:pStyle w:val="HRBHeadingL4"/>
        <w:rPr>
          <w:sz w:val="28"/>
          <w:szCs w:val="28"/>
        </w:rPr>
      </w:pPr>
      <w:r>
        <w:rPr>
          <w:sz w:val="28"/>
          <w:szCs w:val="28"/>
        </w:rPr>
        <w:t>Eligibility</w:t>
      </w:r>
    </w:p>
    <w:p w14:paraId="7FFA3731" w14:textId="1B7EB1EC" w:rsidR="00FB2ADF" w:rsidRPr="00587659" w:rsidRDefault="00FB2ADF" w:rsidP="00FB2ADF">
      <w:pPr>
        <w:tabs>
          <w:tab w:val="left" w:pos="362"/>
        </w:tabs>
        <w:rPr>
          <w:b/>
        </w:rPr>
      </w:pPr>
      <w:r w:rsidRPr="00587659">
        <w:rPr>
          <w:b/>
        </w:rPr>
        <w:t>Salaried staff with PRSI eligibility</w:t>
      </w:r>
    </w:p>
    <w:p w14:paraId="3D244BF6" w14:textId="77777777" w:rsidR="00FB2ADF" w:rsidRPr="00587659" w:rsidRDefault="00FB2ADF" w:rsidP="00FB2ADF">
      <w:pPr>
        <w:numPr>
          <w:ilvl w:val="1"/>
          <w:numId w:val="46"/>
        </w:numPr>
        <w:spacing w:after="0" w:line="240" w:lineRule="auto"/>
        <w:jc w:val="both"/>
      </w:pPr>
      <w:r w:rsidRPr="00587659">
        <w:t>For employees on HRB-funded contracts, who satisfy the PRSI contribution conditions for maternity and adoptive leave</w:t>
      </w:r>
      <w:r w:rsidRPr="00587659">
        <w:rPr>
          <w:rStyle w:val="FootnoteReference"/>
          <w:sz w:val="22"/>
        </w:rPr>
        <w:footnoteReference w:id="2"/>
      </w:r>
      <w:r w:rsidRPr="00587659">
        <w:t xml:space="preserve"> or for paid sick leave</w:t>
      </w:r>
      <w:r w:rsidRPr="00587659">
        <w:rPr>
          <w:rStyle w:val="FootnoteReference"/>
          <w:sz w:val="22"/>
        </w:rPr>
        <w:footnoteReference w:id="3"/>
      </w:r>
      <w:r w:rsidRPr="00587659">
        <w:t xml:space="preserve"> and can avail of social welfare maternity benefit, social welfare adoptive benefit or sickness benefit, the HRB will provide </w:t>
      </w:r>
      <w:r w:rsidRPr="00587659">
        <w:rPr>
          <w:i/>
        </w:rPr>
        <w:t>additional</w:t>
      </w:r>
      <w:r w:rsidRPr="00587659">
        <w:t xml:space="preserve"> funding for the duration of statutory entitlement in the case of maternity and adoptive leave (see Section 3 below for these durations). </w:t>
      </w:r>
    </w:p>
    <w:p w14:paraId="3482EB45" w14:textId="77777777" w:rsidR="00FB2ADF" w:rsidRPr="00587659" w:rsidRDefault="00FB2ADF" w:rsidP="00FB2ADF">
      <w:pPr>
        <w:jc w:val="both"/>
      </w:pPr>
    </w:p>
    <w:p w14:paraId="1D8873CF" w14:textId="77777777" w:rsidR="00FB2ADF" w:rsidRPr="00587659" w:rsidRDefault="00FB2ADF" w:rsidP="00FB2ADF">
      <w:pPr>
        <w:numPr>
          <w:ilvl w:val="1"/>
          <w:numId w:val="46"/>
        </w:numPr>
        <w:spacing w:after="0" w:line="240" w:lineRule="auto"/>
        <w:jc w:val="both"/>
      </w:pPr>
      <w:r w:rsidRPr="00587659">
        <w:t xml:space="preserve">For paid sick leave, the HRB will provide </w:t>
      </w:r>
      <w:r w:rsidRPr="00587659">
        <w:rPr>
          <w:i/>
        </w:rPr>
        <w:t>additional</w:t>
      </w:r>
      <w:r w:rsidRPr="00587659">
        <w:t xml:space="preserve"> funding, in accordance with the policies of the Host Institution, for the period for which the Host Institution makes provision for paid sick leave. </w:t>
      </w:r>
    </w:p>
    <w:p w14:paraId="16CF9974" w14:textId="77777777" w:rsidR="00FB2ADF" w:rsidRPr="00587659" w:rsidRDefault="00FB2ADF" w:rsidP="00FB2ADF">
      <w:pPr>
        <w:jc w:val="both"/>
      </w:pPr>
    </w:p>
    <w:p w14:paraId="353EB508" w14:textId="77777777" w:rsidR="00FB2ADF" w:rsidRPr="00587659" w:rsidRDefault="00FB2ADF" w:rsidP="00FB2ADF">
      <w:pPr>
        <w:numPr>
          <w:ilvl w:val="1"/>
          <w:numId w:val="46"/>
        </w:numPr>
        <w:spacing w:after="0" w:line="240" w:lineRule="auto"/>
        <w:jc w:val="both"/>
      </w:pPr>
      <w:r w:rsidRPr="00587659">
        <w:rPr>
          <w:b/>
        </w:rPr>
        <w:t>‘Additional</w:t>
      </w:r>
      <w:r w:rsidRPr="00587659">
        <w:t>’ in Clause 1.1 refers to the difference between social welfare maternity benefit or social welfare adoptive benefit and the salary stipulated for that employee in the HRB contract. In the case of paid sick leave (Clause 1.2), and in accordance with the policies in place in the Host Institution, the ‘</w:t>
      </w:r>
      <w:r w:rsidRPr="00587659">
        <w:rPr>
          <w:b/>
        </w:rPr>
        <w:t>additional’</w:t>
      </w:r>
      <w:r w:rsidRPr="00587659">
        <w:t xml:space="preserve"> amount may be </w:t>
      </w:r>
      <w:r w:rsidRPr="00587659">
        <w:rPr>
          <w:rFonts w:cs="Tahoma"/>
          <w:lang w:val="en-US"/>
        </w:rPr>
        <w:t>less than the difference between social welfare sickness benefit and salary.</w:t>
      </w:r>
    </w:p>
    <w:p w14:paraId="41B3CF18" w14:textId="77777777" w:rsidR="00FB2ADF" w:rsidRPr="00587659" w:rsidRDefault="00FB2ADF" w:rsidP="00FB2ADF">
      <w:pPr>
        <w:jc w:val="both"/>
      </w:pPr>
    </w:p>
    <w:p w14:paraId="2A1CA7BB" w14:textId="77777777" w:rsidR="00FB2ADF" w:rsidRPr="00587659" w:rsidRDefault="00FB2ADF" w:rsidP="00FB2ADF">
      <w:pPr>
        <w:numPr>
          <w:ilvl w:val="1"/>
          <w:numId w:val="46"/>
        </w:numPr>
        <w:spacing w:after="0" w:line="240" w:lineRule="auto"/>
        <w:jc w:val="both"/>
      </w:pPr>
      <w:r w:rsidRPr="00587659">
        <w:t>The employee is responsible for ensuring that social welfare maternity benefit, social welfare adoptive benefit or sickness benefit is claimed from Social Welfare in a timely manner.</w:t>
      </w:r>
    </w:p>
    <w:p w14:paraId="285B8CDF" w14:textId="77777777" w:rsidR="00FB2ADF" w:rsidRPr="00587659" w:rsidRDefault="00FB2ADF" w:rsidP="00FB2ADF"/>
    <w:p w14:paraId="548E113F" w14:textId="77777777" w:rsidR="00FB2ADF" w:rsidRDefault="00FB2ADF" w:rsidP="00FB2ADF">
      <w:pPr>
        <w:numPr>
          <w:ilvl w:val="1"/>
          <w:numId w:val="46"/>
        </w:numPr>
        <w:spacing w:after="0" w:line="240" w:lineRule="auto"/>
        <w:jc w:val="both"/>
      </w:pPr>
      <w:r w:rsidRPr="00587659">
        <w:t xml:space="preserve">The HRB will reimburse the Host Institution at the end of the leave period, on receipt of written confirmation that the claimant has returned to work, for the cost of providing </w:t>
      </w:r>
      <w:r w:rsidRPr="00587659">
        <w:rPr>
          <w:i/>
        </w:rPr>
        <w:t>additional</w:t>
      </w:r>
      <w:r w:rsidRPr="00587659">
        <w:t xml:space="preserve"> funding, as described in Clause 1.3 above. </w:t>
      </w:r>
    </w:p>
    <w:p w14:paraId="3752E0DD" w14:textId="77777777" w:rsidR="00FB2ADF" w:rsidRDefault="00FB2ADF" w:rsidP="00FB2ADF">
      <w:pPr>
        <w:spacing w:after="0" w:line="240" w:lineRule="auto"/>
        <w:ind w:left="360"/>
        <w:jc w:val="both"/>
      </w:pPr>
    </w:p>
    <w:p w14:paraId="12964547" w14:textId="69387E51" w:rsidR="00FB2ADF" w:rsidRPr="00587659" w:rsidRDefault="00FB2ADF" w:rsidP="00FB2ADF">
      <w:pPr>
        <w:numPr>
          <w:ilvl w:val="1"/>
          <w:numId w:val="46"/>
        </w:numPr>
        <w:spacing w:after="0" w:line="240" w:lineRule="auto"/>
        <w:jc w:val="both"/>
      </w:pPr>
      <w:r w:rsidRPr="00FB2ADF">
        <w:rPr>
          <w:rFonts w:cs="Tahoma"/>
          <w:lang w:val="en-GB" w:eastAsia="en-GB"/>
        </w:rPr>
        <w:lastRenderedPageBreak/>
        <w:t>Approval of an extension to the award for a period equivalent to the maternity, paternity, adoptive or paid sick leave will be made on a case-by-case basis and will be dependent on the project and whether such an extension is necessary to ensure that all deliverables*</w:t>
      </w:r>
      <w:r>
        <w:rPr>
          <w:rStyle w:val="FootnoteReference"/>
          <w:rFonts w:cs="Tahoma"/>
          <w:sz w:val="22"/>
          <w:lang w:val="en-GB" w:eastAsia="en-GB"/>
        </w:rPr>
        <w:footnoteReference w:id="4"/>
      </w:r>
      <w:r w:rsidRPr="00FB2ADF">
        <w:rPr>
          <w:rFonts w:cs="Tahoma"/>
          <w:lang w:val="en-GB" w:eastAsia="en-GB"/>
        </w:rPr>
        <w:t xml:space="preserve"> are met. It is the responsibility of the HRB grant holder to request an extension of the grant duration on the HRB Grant Amendment Request Form. </w:t>
      </w:r>
    </w:p>
    <w:p w14:paraId="29EC6725" w14:textId="77777777" w:rsidR="00FB2ADF" w:rsidRPr="00587659" w:rsidRDefault="00FB2ADF" w:rsidP="00FB2ADF">
      <w:pPr>
        <w:ind w:left="360"/>
        <w:jc w:val="both"/>
        <w:rPr>
          <w:b/>
        </w:rPr>
      </w:pPr>
    </w:p>
    <w:p w14:paraId="6D3DD2AD" w14:textId="77777777" w:rsidR="00FB2ADF" w:rsidRPr="00587659" w:rsidRDefault="00FB2ADF" w:rsidP="00FB2ADF">
      <w:pPr>
        <w:tabs>
          <w:tab w:val="left" w:pos="362"/>
        </w:tabs>
        <w:jc w:val="both"/>
        <w:rPr>
          <w:b/>
        </w:rPr>
      </w:pPr>
      <w:r w:rsidRPr="00587659">
        <w:rPr>
          <w:b/>
        </w:rPr>
        <w:t>2.</w:t>
      </w:r>
      <w:r w:rsidRPr="00587659">
        <w:rPr>
          <w:b/>
        </w:rPr>
        <w:tab/>
        <w:t>Post-graduate students and salaried staff without PRSI eligibility</w:t>
      </w:r>
    </w:p>
    <w:p w14:paraId="77C827B0" w14:textId="77777777" w:rsidR="00FB2ADF" w:rsidRPr="00587659" w:rsidRDefault="00FB2ADF" w:rsidP="00FB2ADF">
      <w:pPr>
        <w:tabs>
          <w:tab w:val="left" w:pos="362"/>
        </w:tabs>
        <w:rPr>
          <w:b/>
        </w:rPr>
      </w:pPr>
    </w:p>
    <w:p w14:paraId="38025350" w14:textId="4B23EC06" w:rsidR="00FB2ADF" w:rsidRPr="0000377B" w:rsidRDefault="00FB2ADF" w:rsidP="00FB2ADF">
      <w:pPr>
        <w:rPr>
          <w:rFonts w:cs="Calibri"/>
        </w:rPr>
      </w:pPr>
      <w:r w:rsidRPr="00335AC8">
        <w:rPr>
          <w:rFonts w:cs="Calibri"/>
        </w:rPr>
        <w:t xml:space="preserve">For post-graduate students or employees who do not satisfy the PRSI contribution conditions for maternity, </w:t>
      </w:r>
      <w:proofErr w:type="gramStart"/>
      <w:r w:rsidRPr="00335AC8">
        <w:rPr>
          <w:rFonts w:cs="Calibri"/>
        </w:rPr>
        <w:t>paternity</w:t>
      </w:r>
      <w:proofErr w:type="gramEnd"/>
      <w:r w:rsidRPr="00335AC8">
        <w:rPr>
          <w:rFonts w:cs="Calibri"/>
        </w:rPr>
        <w:t xml:space="preserve"> and adoptive leave or for paid sick leave, the HRB will provide the salary amount (salaried staff) or stipend amount (post-graduate students) to persons on maternity, paternity and adoptive leave for the duration of the statutory entitlement.  </w:t>
      </w:r>
    </w:p>
    <w:p w14:paraId="3F220EF7" w14:textId="7C1EE52D" w:rsidR="00FB2ADF" w:rsidRPr="0000377B" w:rsidRDefault="00FB2ADF" w:rsidP="00FB2ADF">
      <w:pPr>
        <w:rPr>
          <w:rFonts w:cs="Calibri"/>
        </w:rPr>
      </w:pPr>
      <w:r w:rsidRPr="0000377B">
        <w:rPr>
          <w:rFonts w:cs="Calibri"/>
        </w:rPr>
        <w:t xml:space="preserve">For paid sick leave, the HRB will provide funding, in accordance with the policies of the Host Institution, for the period and amount for which the Host Institution makes provision for paid sick leave. </w:t>
      </w:r>
    </w:p>
    <w:p w14:paraId="18A4E32A" w14:textId="77777777" w:rsidR="00FB2ADF" w:rsidRPr="0000377B" w:rsidRDefault="00FB2ADF" w:rsidP="00FB2ADF">
      <w:pPr>
        <w:numPr>
          <w:ilvl w:val="0"/>
          <w:numId w:val="48"/>
        </w:numPr>
        <w:spacing w:after="0" w:line="240" w:lineRule="auto"/>
        <w:rPr>
          <w:rFonts w:cs="Calibri"/>
        </w:rPr>
      </w:pPr>
      <w:r w:rsidRPr="0000377B">
        <w:rPr>
          <w:rFonts w:cs="Calibri"/>
        </w:rPr>
        <w:t xml:space="preserve">The Host Institution is responsible for verifying the ineligibility for social welfare maternity benefit, social welfare adoptive benefit or sickness benefit of the employee or student. </w:t>
      </w:r>
    </w:p>
    <w:p w14:paraId="08AB7609" w14:textId="77777777" w:rsidR="00FB2ADF" w:rsidRPr="0000377B" w:rsidRDefault="00FB2ADF" w:rsidP="00FB2ADF">
      <w:pPr>
        <w:rPr>
          <w:rFonts w:cs="Calibri"/>
        </w:rPr>
      </w:pPr>
    </w:p>
    <w:p w14:paraId="34DBFE74" w14:textId="77777777" w:rsidR="00FB2ADF" w:rsidRPr="0000377B" w:rsidRDefault="00FB2ADF" w:rsidP="00FB2ADF">
      <w:pPr>
        <w:numPr>
          <w:ilvl w:val="0"/>
          <w:numId w:val="48"/>
        </w:numPr>
        <w:spacing w:after="0" w:line="240" w:lineRule="auto"/>
        <w:rPr>
          <w:rFonts w:cs="Calibri"/>
        </w:rPr>
      </w:pPr>
      <w:r w:rsidRPr="0000377B">
        <w:rPr>
          <w:rFonts w:cs="Calibri"/>
        </w:rPr>
        <w:t>The HRB will reimburse the Host Institution at the end of the leave period, on provision of an invoice and of proof for ineligibility for the relevant social welfare benefit, for the cost of providing the salary or stipend, as described in Clause 2.1 and 2.2 above.</w:t>
      </w:r>
    </w:p>
    <w:p w14:paraId="76BD710B" w14:textId="77777777" w:rsidR="00FB2ADF" w:rsidRPr="0000377B" w:rsidRDefault="00FB2ADF" w:rsidP="00FB2ADF">
      <w:pPr>
        <w:rPr>
          <w:rFonts w:cs="Calibri"/>
        </w:rPr>
      </w:pPr>
    </w:p>
    <w:p w14:paraId="5CA6A915" w14:textId="77777777" w:rsidR="00FB2ADF" w:rsidRDefault="00FB2ADF" w:rsidP="00FB2ADF">
      <w:pPr>
        <w:numPr>
          <w:ilvl w:val="0"/>
          <w:numId w:val="48"/>
        </w:numPr>
        <w:spacing w:after="0" w:line="240" w:lineRule="auto"/>
        <w:rPr>
          <w:rFonts w:cs="Calibri"/>
        </w:rPr>
      </w:pPr>
      <w:r w:rsidRPr="0000377B">
        <w:rPr>
          <w:rFonts w:cs="Calibri"/>
        </w:rPr>
        <w:t>HRB payment of social benefit supplement is conditional on the institution not requiring the candidate to pay additional postgraduate registration fees for this period of leave; evidence will be required of same.</w:t>
      </w:r>
    </w:p>
    <w:p w14:paraId="00B16EAA" w14:textId="77777777" w:rsidR="00FB2ADF" w:rsidRDefault="00FB2ADF" w:rsidP="00FB2ADF">
      <w:pPr>
        <w:ind w:left="720"/>
        <w:rPr>
          <w:rFonts w:cs="Calibri"/>
        </w:rPr>
      </w:pPr>
    </w:p>
    <w:p w14:paraId="31EF0FAE" w14:textId="77777777" w:rsidR="00FB2ADF" w:rsidRPr="0000377B" w:rsidRDefault="00FB2ADF" w:rsidP="00FB2ADF">
      <w:pPr>
        <w:numPr>
          <w:ilvl w:val="0"/>
          <w:numId w:val="48"/>
        </w:numPr>
        <w:spacing w:after="0" w:line="240" w:lineRule="auto"/>
        <w:rPr>
          <w:rFonts w:cs="Calibri"/>
        </w:rPr>
      </w:pPr>
      <w:r w:rsidRPr="00335AC8">
        <w:rPr>
          <w:rFonts w:cs="Calibri"/>
        </w:rPr>
        <w:t>Approval for an extension to the award for a period equivalent to the maternity leave, paternity leave, adoptive leave or paid sick leave may be made on a case-by-case basis and will be dependent on the project and whether such an extension is necessary to ensure that all deliverables are met. It is the responsibility of the HRB grant holder to request an extension to the grant duration on the HRB Grant Amendment Request Form.</w:t>
      </w:r>
    </w:p>
    <w:p w14:paraId="3B394839" w14:textId="77777777" w:rsidR="00FB2ADF" w:rsidRPr="00587659" w:rsidRDefault="00FB2ADF" w:rsidP="00FB2ADF">
      <w:pPr>
        <w:rPr>
          <w:b/>
        </w:rPr>
      </w:pPr>
    </w:p>
    <w:p w14:paraId="22BF42F7" w14:textId="0A8EFEDD" w:rsidR="00FB2ADF" w:rsidRPr="00FB2ADF" w:rsidRDefault="00FB2ADF" w:rsidP="00FB2ADF">
      <w:pPr>
        <w:tabs>
          <w:tab w:val="left" w:pos="362"/>
        </w:tabs>
        <w:jc w:val="both"/>
        <w:rPr>
          <w:b/>
        </w:rPr>
      </w:pPr>
      <w:r w:rsidRPr="00587659">
        <w:rPr>
          <w:b/>
        </w:rPr>
        <w:t>3.</w:t>
      </w:r>
      <w:r w:rsidRPr="00587659">
        <w:rPr>
          <w:b/>
        </w:rPr>
        <w:tab/>
      </w:r>
      <w:r w:rsidRPr="00587659">
        <w:rPr>
          <w:rFonts w:cs="Tahoma"/>
          <w:b/>
          <w:lang w:val="en-US"/>
        </w:rPr>
        <w:t>Statutory entitlements to paid leave</w:t>
      </w:r>
    </w:p>
    <w:p w14:paraId="1E78B1A8" w14:textId="77777777" w:rsidR="00FB2ADF" w:rsidRDefault="00FB2ADF" w:rsidP="00FB2ADF">
      <w:pPr>
        <w:numPr>
          <w:ilvl w:val="1"/>
          <w:numId w:val="47"/>
        </w:numPr>
        <w:tabs>
          <w:tab w:val="left" w:pos="362"/>
        </w:tabs>
        <w:spacing w:after="0" w:line="240" w:lineRule="auto"/>
        <w:rPr>
          <w:b/>
        </w:rPr>
      </w:pPr>
      <w:r w:rsidRPr="00587659">
        <w:rPr>
          <w:b/>
        </w:rPr>
        <w:t>Maternity Leave</w:t>
      </w:r>
      <w:r>
        <w:rPr>
          <w:rStyle w:val="FootnoteReference"/>
          <w:b/>
          <w:sz w:val="22"/>
        </w:rPr>
        <w:footnoteReference w:id="5"/>
      </w:r>
    </w:p>
    <w:p w14:paraId="17444F27" w14:textId="77777777" w:rsidR="00FB2ADF" w:rsidRPr="00587659" w:rsidRDefault="00FB2ADF" w:rsidP="00FB2ADF">
      <w:pPr>
        <w:tabs>
          <w:tab w:val="left" w:pos="362"/>
        </w:tabs>
        <w:rPr>
          <w:b/>
        </w:rPr>
      </w:pPr>
    </w:p>
    <w:p w14:paraId="329D4BD5"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lastRenderedPageBreak/>
        <w:t>0 weeks for employees who do not satisfy the PRSI contribution conditions</w:t>
      </w:r>
      <w:r>
        <w:t>.</w:t>
      </w:r>
    </w:p>
    <w:p w14:paraId="5772FADA"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26 consecutive weeks for employees who satisfy the PRSI contributions, whose contracts of employment (associated with HRB funding) have 26 weeks or longer to run. </w:t>
      </w:r>
    </w:p>
    <w:p w14:paraId="710E5A2E"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For employees with </w:t>
      </w:r>
      <w:r w:rsidRPr="00587659">
        <w:rPr>
          <w:u w:val="single"/>
        </w:rPr>
        <w:t>less</w:t>
      </w:r>
      <w:r w:rsidRPr="00587659">
        <w:t xml:space="preserve"> tha</w:t>
      </w:r>
      <w:r>
        <w:t>n</w:t>
      </w:r>
      <w:r w:rsidRPr="00587659">
        <w:t xml:space="preserve"> 26 weeks left in their contract (associated with HRB funding), their entitlement to paid Maternity Leave only extends to the end of their contract. </w:t>
      </w:r>
    </w:p>
    <w:p w14:paraId="4EA68082"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Employees also have the right to an additional period of 16 weeks </w:t>
      </w:r>
      <w:r w:rsidRPr="00587659">
        <w:rPr>
          <w:b/>
        </w:rPr>
        <w:t>unpaid</w:t>
      </w:r>
      <w:r w:rsidRPr="00587659">
        <w:t xml:space="preserve"> leave, which must be taken immediately following the maternity leave period. There is no entitlement to social welfare maternity benefit for the additional sixteen weeks leave.</w:t>
      </w:r>
    </w:p>
    <w:p w14:paraId="649CE759" w14:textId="77777777" w:rsidR="00FB2ADF" w:rsidRPr="00587659" w:rsidRDefault="00FB2ADF" w:rsidP="00FB2ADF"/>
    <w:p w14:paraId="72641F4A" w14:textId="77777777" w:rsidR="00FB2ADF" w:rsidRPr="00587659" w:rsidRDefault="00FB2ADF" w:rsidP="00FB2ADF">
      <w:pPr>
        <w:numPr>
          <w:ilvl w:val="1"/>
          <w:numId w:val="47"/>
        </w:numPr>
        <w:tabs>
          <w:tab w:val="left" w:pos="362"/>
        </w:tabs>
        <w:spacing w:after="0" w:line="240" w:lineRule="auto"/>
        <w:rPr>
          <w:b/>
        </w:rPr>
      </w:pPr>
      <w:r w:rsidRPr="00587659">
        <w:rPr>
          <w:b/>
        </w:rPr>
        <w:t>Adoptive Leave</w:t>
      </w:r>
    </w:p>
    <w:p w14:paraId="0611518C" w14:textId="77777777" w:rsidR="00FB2ADF" w:rsidRPr="00587659" w:rsidRDefault="00FB2ADF" w:rsidP="00FB2ADF">
      <w:pPr>
        <w:tabs>
          <w:tab w:val="left" w:pos="362"/>
        </w:tabs>
        <w:rPr>
          <w:b/>
        </w:rPr>
      </w:pPr>
    </w:p>
    <w:p w14:paraId="61721E7B"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0 weeks for employees who do not satisfy the PRSI contribution </w:t>
      </w:r>
      <w:proofErr w:type="gramStart"/>
      <w:r w:rsidRPr="00587659">
        <w:t>conditions</w:t>
      </w:r>
      <w:proofErr w:type="gramEnd"/>
    </w:p>
    <w:p w14:paraId="72083E7B"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24 consecutive weeks for employees who satisfy the PRSI contributions, whose contracts of employment (associated with HRB funding) have 24 weeks or longer to run. </w:t>
      </w:r>
    </w:p>
    <w:p w14:paraId="4151E0CE"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For employees with </w:t>
      </w:r>
      <w:r w:rsidRPr="00587659">
        <w:rPr>
          <w:u w:val="single"/>
        </w:rPr>
        <w:t>less</w:t>
      </w:r>
      <w:r w:rsidRPr="00587659">
        <w:t xml:space="preserve"> tha</w:t>
      </w:r>
      <w:r>
        <w:t>n</w:t>
      </w:r>
      <w:r w:rsidRPr="00587659">
        <w:t xml:space="preserve"> 24 weeks left in their contract (associated with HRB funding), their entitlement to paid Adoptive Leave only extends to the end of their contract. </w:t>
      </w:r>
    </w:p>
    <w:p w14:paraId="7D2A1CDE" w14:textId="77777777" w:rsidR="00FB2ADF" w:rsidRPr="00587659" w:rsidRDefault="00FB2ADF" w:rsidP="00FB2ADF">
      <w:pPr>
        <w:numPr>
          <w:ilvl w:val="0"/>
          <w:numId w:val="45"/>
        </w:numPr>
        <w:tabs>
          <w:tab w:val="clear" w:pos="284"/>
          <w:tab w:val="num" w:pos="724"/>
        </w:tabs>
        <w:spacing w:after="0" w:line="240" w:lineRule="auto"/>
        <w:ind w:left="724" w:hanging="362"/>
        <w:jc w:val="both"/>
      </w:pPr>
      <w:r w:rsidRPr="00587659">
        <w:t xml:space="preserve">Employees also have the right to an additional period of 16 weeks </w:t>
      </w:r>
      <w:r w:rsidRPr="00587659">
        <w:rPr>
          <w:b/>
        </w:rPr>
        <w:t>unpaid</w:t>
      </w:r>
      <w:r w:rsidRPr="00587659">
        <w:t xml:space="preserve"> leave, which must be taken immediately following the adoptive leave period. There is no entitlement to social welfare adoptive benefit for the additional sixteen weeks leave.</w:t>
      </w:r>
    </w:p>
    <w:p w14:paraId="53A26F47" w14:textId="77777777" w:rsidR="00FB2ADF" w:rsidRPr="00587659" w:rsidRDefault="00FB2ADF" w:rsidP="00FB2ADF">
      <w:pPr>
        <w:pStyle w:val="Default"/>
        <w:jc w:val="both"/>
        <w:rPr>
          <w:rFonts w:ascii="Calibri" w:hAnsi="Calibri"/>
          <w:sz w:val="22"/>
          <w:szCs w:val="22"/>
        </w:rPr>
      </w:pPr>
    </w:p>
    <w:p w14:paraId="1993CFBC" w14:textId="77777777" w:rsidR="00FB2ADF" w:rsidRDefault="00FB2ADF" w:rsidP="00FB2ADF">
      <w:pPr>
        <w:ind w:left="362"/>
        <w:jc w:val="both"/>
      </w:pPr>
      <w:r w:rsidRPr="00587659">
        <w:t xml:space="preserve">In the case of a foreign adoption, some or </w:t>
      </w:r>
      <w:proofErr w:type="gramStart"/>
      <w:r w:rsidRPr="00587659">
        <w:t>all of</w:t>
      </w:r>
      <w:proofErr w:type="gramEnd"/>
      <w:r w:rsidRPr="00587659">
        <w:t xml:space="preserve"> the sixteen weeks additional adoptive leave may be taken immediately before the date of placement. There is no entitlement to social welfare adoptive benefit for the additional sixteen weeks leave.</w:t>
      </w:r>
    </w:p>
    <w:p w14:paraId="56952A13" w14:textId="77777777" w:rsidR="00FB2ADF" w:rsidRDefault="00FB2ADF" w:rsidP="00FB2ADF">
      <w:pPr>
        <w:ind w:left="362"/>
        <w:jc w:val="both"/>
      </w:pPr>
    </w:p>
    <w:p w14:paraId="337BFF62" w14:textId="4E7544CE" w:rsidR="00FB2ADF" w:rsidRDefault="00FB2ADF" w:rsidP="00FB2ADF">
      <w:pPr>
        <w:jc w:val="both"/>
        <w:rPr>
          <w:rFonts w:cs="Calibri"/>
          <w:b/>
          <w:bCs/>
          <w:color w:val="000000"/>
          <w:lang w:eastAsia="en-IE"/>
        </w:rPr>
      </w:pPr>
      <w:r>
        <w:rPr>
          <w:rFonts w:cs="Calibri"/>
          <w:b/>
          <w:bCs/>
          <w:color w:val="000000"/>
          <w:lang w:eastAsia="en-IE"/>
        </w:rPr>
        <w:t>3.3 Carer’s Leave</w:t>
      </w:r>
    </w:p>
    <w:p w14:paraId="37011C55" w14:textId="77777777" w:rsidR="00FB2ADF" w:rsidRDefault="00FB2ADF" w:rsidP="00FB2ADF">
      <w:pPr>
        <w:numPr>
          <w:ilvl w:val="0"/>
          <w:numId w:val="49"/>
        </w:numPr>
        <w:spacing w:after="0" w:line="240" w:lineRule="auto"/>
        <w:jc w:val="both"/>
        <w:rPr>
          <w:rFonts w:cs="Calibri"/>
          <w:color w:val="000000"/>
          <w:lang w:eastAsia="en-IE"/>
        </w:rPr>
      </w:pPr>
      <w:r w:rsidRPr="004448F1">
        <w:rPr>
          <w:rFonts w:cs="Calibri"/>
          <w:color w:val="000000"/>
          <w:lang w:eastAsia="en-IE"/>
        </w:rPr>
        <w:t xml:space="preserve">The minimum statutory entitlement is 13 weeks, and the maximum is 104 weeks in respect of any one care recipient. </w:t>
      </w:r>
    </w:p>
    <w:p w14:paraId="40A8B887" w14:textId="77777777" w:rsidR="00FB2ADF" w:rsidRDefault="00FB2ADF" w:rsidP="00FB2ADF">
      <w:pPr>
        <w:numPr>
          <w:ilvl w:val="0"/>
          <w:numId w:val="49"/>
        </w:numPr>
        <w:spacing w:after="0" w:line="240" w:lineRule="auto"/>
        <w:jc w:val="both"/>
        <w:rPr>
          <w:rFonts w:cs="Calibri"/>
          <w:color w:val="000000"/>
          <w:lang w:eastAsia="en-IE"/>
        </w:rPr>
      </w:pPr>
      <w:proofErr w:type="gramStart"/>
      <w:r w:rsidRPr="004448F1">
        <w:rPr>
          <w:rFonts w:cs="Calibri"/>
          <w:color w:val="000000"/>
          <w:lang w:eastAsia="en-IE"/>
        </w:rPr>
        <w:t>In order to</w:t>
      </w:r>
      <w:proofErr w:type="gramEnd"/>
      <w:r w:rsidRPr="004448F1">
        <w:rPr>
          <w:rFonts w:cs="Calibri"/>
          <w:color w:val="000000"/>
          <w:lang w:eastAsia="en-IE"/>
        </w:rPr>
        <w:t xml:space="preserve"> be eligible to apply for Carer's Leave an employee must</w:t>
      </w:r>
      <w:r w:rsidRPr="004448F1">
        <w:rPr>
          <w:rFonts w:cs="Calibri"/>
          <w:color w:val="000000"/>
          <w:lang w:eastAsia="en-IE"/>
        </w:rPr>
        <w:br/>
        <w:t>have at least 12 months continuous service with the employer from whose employment the leave is taken, before commencement of the leave, intend to personally provide full-time care and attention to a person in need of such care and,</w:t>
      </w:r>
      <w:r w:rsidRPr="004448F1">
        <w:rPr>
          <w:rFonts w:cs="Calibri"/>
          <w:color w:val="000000"/>
          <w:lang w:eastAsia="en-IE"/>
        </w:rPr>
        <w:br/>
        <w:t>actually, do so for the duration of the leave.</w:t>
      </w:r>
    </w:p>
    <w:p w14:paraId="23BBF01B" w14:textId="77777777" w:rsidR="00FB2ADF" w:rsidRDefault="00FB2ADF" w:rsidP="00FB2ADF">
      <w:pPr>
        <w:jc w:val="both"/>
        <w:rPr>
          <w:rFonts w:cs="Calibri"/>
          <w:color w:val="000000"/>
          <w:lang w:eastAsia="en-IE"/>
        </w:rPr>
      </w:pPr>
    </w:p>
    <w:p w14:paraId="7BF70636" w14:textId="77777777" w:rsidR="00FB2ADF" w:rsidRPr="004448F1" w:rsidRDefault="00FB2ADF" w:rsidP="00FB2ADF">
      <w:pPr>
        <w:numPr>
          <w:ilvl w:val="0"/>
          <w:numId w:val="49"/>
        </w:numPr>
        <w:spacing w:after="0" w:line="240" w:lineRule="auto"/>
        <w:jc w:val="both"/>
        <w:rPr>
          <w:rFonts w:cs="Calibri"/>
          <w:color w:val="000000"/>
          <w:lang w:eastAsia="en-IE"/>
        </w:rPr>
      </w:pPr>
      <w:r w:rsidRPr="00587659">
        <w:t xml:space="preserve">For employees with </w:t>
      </w:r>
      <w:r w:rsidRPr="00587659">
        <w:rPr>
          <w:u w:val="single"/>
        </w:rPr>
        <w:t>less</w:t>
      </w:r>
      <w:r w:rsidRPr="00587659">
        <w:t xml:space="preserve"> tha</w:t>
      </w:r>
      <w:r>
        <w:t>n</w:t>
      </w:r>
      <w:r w:rsidRPr="00587659">
        <w:t xml:space="preserve"> </w:t>
      </w:r>
      <w:r>
        <w:t>the period of carer’s leave which qualifies for statutory payment</w:t>
      </w:r>
      <w:r w:rsidRPr="00587659">
        <w:t xml:space="preserve"> left in their contract (associated with HRB funding), their entitlement to paid </w:t>
      </w:r>
      <w:r>
        <w:t>Carer’s</w:t>
      </w:r>
      <w:r w:rsidRPr="00587659">
        <w:t xml:space="preserve"> Leave only extends to the end of their contract.</w:t>
      </w:r>
    </w:p>
    <w:p w14:paraId="7A7C06CE" w14:textId="031E0E3E" w:rsidR="00E70313" w:rsidRDefault="00E70313" w:rsidP="005A7C0F">
      <w:pPr>
        <w:shd w:val="clear" w:color="auto" w:fill="FDFDFD"/>
        <w:spacing w:before="100" w:beforeAutospacing="1" w:after="100" w:afterAutospacing="1"/>
        <w:rPr>
          <w:rFonts w:eastAsia="Times New Roman" w:cstheme="minorHAnsi"/>
          <w:lang w:eastAsia="en-IE"/>
        </w:rPr>
      </w:pPr>
    </w:p>
    <w:p w14:paraId="33150850" w14:textId="48ECA9D9" w:rsidR="00E70313" w:rsidRDefault="00E70313" w:rsidP="005A7C0F">
      <w:pPr>
        <w:shd w:val="clear" w:color="auto" w:fill="FDFDFD"/>
        <w:spacing w:before="100" w:beforeAutospacing="1" w:after="100" w:afterAutospacing="1"/>
        <w:rPr>
          <w:rFonts w:eastAsia="Times New Roman" w:cstheme="minorHAnsi"/>
          <w:lang w:eastAsia="en-IE"/>
        </w:rPr>
      </w:pPr>
    </w:p>
    <w:p w14:paraId="3A3CD0EF" w14:textId="4A283844" w:rsidR="00E70313" w:rsidRDefault="00E70313" w:rsidP="005A7C0F">
      <w:pPr>
        <w:shd w:val="clear" w:color="auto" w:fill="FDFDFD"/>
        <w:spacing w:before="100" w:beforeAutospacing="1" w:after="100" w:afterAutospacing="1"/>
        <w:rPr>
          <w:rFonts w:eastAsia="Times New Roman" w:cstheme="minorHAnsi"/>
          <w:lang w:eastAsia="en-IE"/>
        </w:rPr>
      </w:pPr>
    </w:p>
    <w:p w14:paraId="2B8C15E0" w14:textId="77777777" w:rsidR="00E70313" w:rsidRDefault="00E70313" w:rsidP="005A7C0F">
      <w:pPr>
        <w:shd w:val="clear" w:color="auto" w:fill="FDFDFD"/>
        <w:spacing w:before="100" w:beforeAutospacing="1" w:after="100" w:afterAutospacing="1"/>
        <w:rPr>
          <w:rFonts w:eastAsia="Times New Roman" w:cstheme="minorHAnsi"/>
          <w:lang w:eastAsia="en-IE"/>
        </w:rPr>
      </w:pPr>
    </w:p>
    <w:p w14:paraId="29799702" w14:textId="77777777" w:rsidR="0009237C" w:rsidRPr="008E5E25" w:rsidRDefault="0009237C" w:rsidP="0009237C">
      <w:pPr>
        <w:pStyle w:val="Heading1"/>
      </w:pPr>
      <w:r w:rsidRPr="008E5E25">
        <w:lastRenderedPageBreak/>
        <w:t>Version Control Sheet (VCS)</w:t>
      </w:r>
    </w:p>
    <w:p w14:paraId="38A2F474" w14:textId="77777777" w:rsidR="0009237C" w:rsidRDefault="0009237C" w:rsidP="0009237C">
      <w:pPr>
        <w:jc w:val="right"/>
      </w:pPr>
      <w:r>
        <w:rPr>
          <w:noProof/>
        </w:rPr>
        <w:drawing>
          <wp:inline distT="0" distB="0" distL="0" distR="0" wp14:anchorId="662E843C" wp14:editId="2193EB55">
            <wp:extent cx="937260" cy="350520"/>
            <wp:effectExtent l="0" t="0" r="0" b="0"/>
            <wp:docPr id="9" name="Picture 9" descr="cid:image003.jpg@01D43AEC.538A6A60"/>
            <wp:cNvGraphicFramePr/>
            <a:graphic xmlns:a="http://schemas.openxmlformats.org/drawingml/2006/main">
              <a:graphicData uri="http://schemas.openxmlformats.org/drawingml/2006/picture">
                <pic:pic xmlns:pic="http://schemas.openxmlformats.org/drawingml/2006/picture">
                  <pic:nvPicPr>
                    <pic:cNvPr id="1" name="Picture 2" descr="cid:image003.jpg@01D43AEC.538A6A6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p>
    <w:p w14:paraId="5BA6AB28" w14:textId="77777777" w:rsidR="00C554E2" w:rsidRPr="00DA6177" w:rsidRDefault="00C554E2" w:rsidP="00C554E2">
      <w:pPr>
        <w:rPr>
          <w:rFonts w:eastAsia="Calibri"/>
          <w:b/>
        </w:rPr>
      </w:pPr>
    </w:p>
    <w:p w14:paraId="2400FA98" w14:textId="77777777" w:rsidR="00C554E2" w:rsidRDefault="00C554E2" w:rsidP="00C554E2">
      <w:pPr>
        <w:rPr>
          <w:rFonts w:eastAsia="Calibri"/>
          <w:b/>
        </w:rPr>
      </w:pPr>
    </w:p>
    <w:tbl>
      <w:tblPr>
        <w:tblpPr w:leftFromText="180" w:rightFromText="180" w:vertAnchor="text" w:horzAnchor="margin" w:tblpY="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404"/>
      </w:tblGrid>
      <w:tr w:rsidR="003A29FA" w:rsidRPr="00963050" w14:paraId="3BF51801" w14:textId="77777777" w:rsidTr="00335AC8">
        <w:tc>
          <w:tcPr>
            <w:tcW w:w="3118" w:type="dxa"/>
            <w:shd w:val="clear" w:color="auto" w:fill="17479E"/>
          </w:tcPr>
          <w:p w14:paraId="64223758" w14:textId="77777777" w:rsidR="003A29FA" w:rsidRPr="00DA6177" w:rsidRDefault="003A29FA" w:rsidP="00335AC8">
            <w:pPr>
              <w:rPr>
                <w:rFonts w:eastAsia="Calibri"/>
                <w:b/>
                <w:color w:val="FFFFFF"/>
              </w:rPr>
            </w:pPr>
          </w:p>
          <w:p w14:paraId="0FB2185E" w14:textId="77777777" w:rsidR="003A29FA" w:rsidRPr="00DA6177" w:rsidRDefault="003A29FA" w:rsidP="00335AC8">
            <w:pPr>
              <w:rPr>
                <w:rFonts w:eastAsia="Calibri"/>
                <w:b/>
                <w:color w:val="FFFFFF"/>
              </w:rPr>
            </w:pPr>
            <w:r w:rsidRPr="00DA6177">
              <w:rPr>
                <w:rFonts w:eastAsia="Calibri"/>
                <w:b/>
                <w:color w:val="FFFFFF"/>
              </w:rPr>
              <w:t>Policy Title</w:t>
            </w:r>
          </w:p>
          <w:p w14:paraId="3E5D891E" w14:textId="77777777" w:rsidR="003A29FA" w:rsidRPr="00DA6177" w:rsidRDefault="003A29FA" w:rsidP="00335AC8">
            <w:pPr>
              <w:rPr>
                <w:rFonts w:eastAsia="Calibri"/>
                <w:b/>
                <w:color w:val="FFFFFF"/>
              </w:rPr>
            </w:pPr>
          </w:p>
        </w:tc>
        <w:tc>
          <w:tcPr>
            <w:tcW w:w="5404" w:type="dxa"/>
            <w:shd w:val="clear" w:color="auto" w:fill="17479E"/>
          </w:tcPr>
          <w:p w14:paraId="25621BDE" w14:textId="77777777" w:rsidR="003A29FA" w:rsidRPr="00DA6177" w:rsidRDefault="003A29FA" w:rsidP="00335AC8">
            <w:pPr>
              <w:rPr>
                <w:rFonts w:eastAsia="Calibri"/>
                <w:b/>
                <w:color w:val="FFFFFF"/>
              </w:rPr>
            </w:pPr>
          </w:p>
          <w:p w14:paraId="3FD3D091" w14:textId="77777777" w:rsidR="003A29FA" w:rsidRPr="00DA6177" w:rsidRDefault="003A29FA" w:rsidP="00335AC8">
            <w:pPr>
              <w:rPr>
                <w:rFonts w:eastAsia="Calibri"/>
                <w:b/>
                <w:color w:val="FFFFFF"/>
              </w:rPr>
            </w:pPr>
            <w:r w:rsidRPr="00DA6177">
              <w:rPr>
                <w:rFonts w:eastAsia="Calibri"/>
                <w:b/>
                <w:color w:val="FFFFFF"/>
              </w:rPr>
              <w:t xml:space="preserve">HRB Policy </w:t>
            </w:r>
            <w:r>
              <w:rPr>
                <w:rFonts w:eastAsia="Calibri"/>
                <w:b/>
                <w:color w:val="FFFFFF"/>
              </w:rPr>
              <w:t>on Social Benefits</w:t>
            </w:r>
          </w:p>
        </w:tc>
      </w:tr>
      <w:tr w:rsidR="003A29FA" w:rsidRPr="00DA6177" w14:paraId="5A171A13" w14:textId="77777777" w:rsidTr="00335AC8">
        <w:tc>
          <w:tcPr>
            <w:tcW w:w="3118" w:type="dxa"/>
            <w:shd w:val="clear" w:color="auto" w:fill="auto"/>
          </w:tcPr>
          <w:p w14:paraId="44A6A339" w14:textId="77777777" w:rsidR="003A29FA" w:rsidRPr="00DA6177" w:rsidRDefault="003A29FA" w:rsidP="00335AC8">
            <w:pPr>
              <w:rPr>
                <w:rFonts w:eastAsia="Calibri"/>
              </w:rPr>
            </w:pPr>
            <w:r w:rsidRPr="00DA6177">
              <w:rPr>
                <w:rFonts w:eastAsia="Calibri"/>
              </w:rPr>
              <w:t>Policy Owner</w:t>
            </w:r>
          </w:p>
          <w:p w14:paraId="47D098C6" w14:textId="77777777" w:rsidR="003A29FA" w:rsidRPr="00DA6177" w:rsidRDefault="003A29FA" w:rsidP="00335AC8">
            <w:pPr>
              <w:rPr>
                <w:rFonts w:eastAsia="Calibri"/>
              </w:rPr>
            </w:pPr>
            <w:r w:rsidRPr="00DA6177">
              <w:rPr>
                <w:rFonts w:eastAsia="Calibri"/>
              </w:rPr>
              <w:t>Name:</w:t>
            </w:r>
          </w:p>
          <w:p w14:paraId="2881C051" w14:textId="77777777" w:rsidR="003A29FA" w:rsidRPr="00DA6177" w:rsidRDefault="003A29FA" w:rsidP="00335AC8">
            <w:pPr>
              <w:rPr>
                <w:rFonts w:eastAsia="Calibri"/>
              </w:rPr>
            </w:pPr>
            <w:r w:rsidRPr="00DA6177">
              <w:rPr>
                <w:rFonts w:eastAsia="Calibri"/>
              </w:rPr>
              <w:t>Job Title:</w:t>
            </w:r>
          </w:p>
        </w:tc>
        <w:tc>
          <w:tcPr>
            <w:tcW w:w="5404" w:type="dxa"/>
            <w:shd w:val="clear" w:color="auto" w:fill="auto"/>
          </w:tcPr>
          <w:p w14:paraId="14BBBBD8" w14:textId="77777777" w:rsidR="003A29FA" w:rsidRDefault="003A29FA" w:rsidP="00335AC8">
            <w:pPr>
              <w:rPr>
                <w:rFonts w:eastAsia="Calibri"/>
              </w:rPr>
            </w:pPr>
          </w:p>
          <w:p w14:paraId="01220DD6" w14:textId="77777777" w:rsidR="003A29FA" w:rsidRDefault="003A29FA" w:rsidP="00335AC8">
            <w:pPr>
              <w:rPr>
                <w:rFonts w:eastAsia="Calibri"/>
              </w:rPr>
            </w:pPr>
            <w:r w:rsidRPr="00DA6177">
              <w:rPr>
                <w:rFonts w:eastAsia="Calibri"/>
              </w:rPr>
              <w:t xml:space="preserve">Caitriona Creely, </w:t>
            </w:r>
          </w:p>
          <w:p w14:paraId="12797F58" w14:textId="65E5FCEB" w:rsidR="003A29FA" w:rsidRPr="00DA6177" w:rsidRDefault="003A29FA" w:rsidP="00335AC8">
            <w:pPr>
              <w:rPr>
                <w:rFonts w:eastAsia="Calibri"/>
              </w:rPr>
            </w:pPr>
            <w:r>
              <w:rPr>
                <w:rFonts w:eastAsia="Calibri"/>
              </w:rPr>
              <w:t>Head of Unit</w:t>
            </w:r>
            <w:r w:rsidRPr="00DA6177">
              <w:rPr>
                <w:rFonts w:eastAsia="Calibri"/>
              </w:rPr>
              <w:t xml:space="preserve"> </w:t>
            </w:r>
          </w:p>
        </w:tc>
      </w:tr>
      <w:tr w:rsidR="003A29FA" w:rsidRPr="00DA6177" w14:paraId="73B3BCB2" w14:textId="77777777" w:rsidTr="00335AC8">
        <w:tc>
          <w:tcPr>
            <w:tcW w:w="3118" w:type="dxa"/>
            <w:shd w:val="clear" w:color="auto" w:fill="auto"/>
          </w:tcPr>
          <w:p w14:paraId="43503EB4" w14:textId="77777777" w:rsidR="003A29FA" w:rsidRPr="00DA6177" w:rsidRDefault="003A29FA" w:rsidP="00335AC8">
            <w:pPr>
              <w:rPr>
                <w:rFonts w:eastAsia="Calibri"/>
              </w:rPr>
            </w:pPr>
          </w:p>
          <w:p w14:paraId="788261D8" w14:textId="77777777" w:rsidR="003A29FA" w:rsidRPr="00DA6177" w:rsidRDefault="003A29FA" w:rsidP="00335AC8">
            <w:pPr>
              <w:rPr>
                <w:rFonts w:eastAsia="Calibri"/>
              </w:rPr>
            </w:pPr>
            <w:r w:rsidRPr="00DA6177">
              <w:rPr>
                <w:rFonts w:eastAsia="Calibri"/>
              </w:rPr>
              <w:t>Business Area:</w:t>
            </w:r>
          </w:p>
        </w:tc>
        <w:tc>
          <w:tcPr>
            <w:tcW w:w="5404" w:type="dxa"/>
            <w:shd w:val="clear" w:color="auto" w:fill="auto"/>
          </w:tcPr>
          <w:p w14:paraId="3CF08F3C" w14:textId="04EA5F82" w:rsidR="003A29FA" w:rsidRPr="00DA6177" w:rsidRDefault="003A29FA" w:rsidP="00335AC8">
            <w:pPr>
              <w:rPr>
                <w:rFonts w:eastAsia="Calibri"/>
              </w:rPr>
            </w:pPr>
            <w:r>
              <w:rPr>
                <w:rFonts w:eastAsia="Calibri"/>
              </w:rPr>
              <w:t>International Cooperation, Evaluation and Targeted Programmes</w:t>
            </w:r>
          </w:p>
        </w:tc>
      </w:tr>
      <w:tr w:rsidR="003A29FA" w:rsidRPr="00DA6177" w14:paraId="51E64312" w14:textId="77777777" w:rsidTr="00335AC8">
        <w:tc>
          <w:tcPr>
            <w:tcW w:w="3118" w:type="dxa"/>
            <w:shd w:val="clear" w:color="auto" w:fill="auto"/>
          </w:tcPr>
          <w:p w14:paraId="515AF8F1" w14:textId="77777777" w:rsidR="003A29FA" w:rsidRPr="003A29FA" w:rsidRDefault="003A29FA" w:rsidP="00335AC8">
            <w:pPr>
              <w:rPr>
                <w:rFonts w:eastAsia="Calibri"/>
                <w:highlight w:val="yellow"/>
              </w:rPr>
            </w:pPr>
            <w:r w:rsidRPr="003A29FA">
              <w:rPr>
                <w:rFonts w:eastAsia="Calibri"/>
                <w:highlight w:val="yellow"/>
              </w:rPr>
              <w:t>Date policy will take effect</w:t>
            </w:r>
          </w:p>
        </w:tc>
        <w:tc>
          <w:tcPr>
            <w:tcW w:w="5404" w:type="dxa"/>
            <w:shd w:val="clear" w:color="auto" w:fill="auto"/>
          </w:tcPr>
          <w:p w14:paraId="2A0D0E31" w14:textId="77777777" w:rsidR="003A29FA" w:rsidRPr="003A29FA" w:rsidRDefault="003A29FA" w:rsidP="00335AC8">
            <w:pPr>
              <w:rPr>
                <w:rFonts w:eastAsia="Calibri"/>
                <w:highlight w:val="yellow"/>
              </w:rPr>
            </w:pPr>
            <w:r w:rsidRPr="003A29FA">
              <w:rPr>
                <w:rFonts w:eastAsia="Calibri"/>
                <w:highlight w:val="yellow"/>
              </w:rPr>
              <w:t>DATE TBC</w:t>
            </w:r>
          </w:p>
        </w:tc>
      </w:tr>
    </w:tbl>
    <w:p w14:paraId="6AA7B50F" w14:textId="77777777" w:rsidR="00C554E2" w:rsidRDefault="00C554E2" w:rsidP="00C554E2">
      <w:pPr>
        <w:rPr>
          <w:rFonts w:eastAsia="Calibri"/>
          <w:b/>
        </w:rPr>
      </w:pPr>
    </w:p>
    <w:p w14:paraId="4BD67E29" w14:textId="77777777" w:rsidR="00C554E2" w:rsidRDefault="00C554E2" w:rsidP="00C554E2">
      <w:pPr>
        <w:rPr>
          <w:rFonts w:eastAsia="Calibri"/>
          <w:b/>
        </w:rPr>
      </w:pPr>
    </w:p>
    <w:p w14:paraId="549A639F" w14:textId="77777777" w:rsidR="00C554E2" w:rsidRPr="00DA6177" w:rsidRDefault="00C554E2" w:rsidP="00C554E2">
      <w:pPr>
        <w:rPr>
          <w:rFonts w:eastAsia="Calibri"/>
        </w:rPr>
      </w:pPr>
      <w:r w:rsidRPr="00DA6177">
        <w:rPr>
          <w:rFonts w:eastAsia="Calibri"/>
          <w:b/>
        </w:rPr>
        <w:t>Is this policy to be published on any of the HRB’s websites?</w:t>
      </w:r>
      <w:r w:rsidRPr="00DA6177">
        <w:rPr>
          <w:rFonts w:eastAsia="Calibri"/>
        </w:rPr>
        <w:tab/>
        <w:t>Yes</w:t>
      </w:r>
    </w:p>
    <w:p w14:paraId="41ECB2C3" w14:textId="77777777" w:rsidR="00C554E2" w:rsidRPr="00DA6177" w:rsidRDefault="00C554E2" w:rsidP="00C554E2">
      <w:pPr>
        <w:rPr>
          <w:rFonts w:eastAsia="Calibri"/>
        </w:rPr>
      </w:pPr>
      <w:r w:rsidRPr="00DA6177">
        <w:rPr>
          <w:rFonts w:eastAsia="Calibri"/>
          <w:b/>
          <w:bCs/>
        </w:rPr>
        <w:t>Reason for publication:</w:t>
      </w:r>
      <w:r w:rsidRPr="00DA6177">
        <w:rPr>
          <w:rFonts w:eastAsia="Calibri"/>
        </w:rPr>
        <w:t xml:space="preserve"> </w:t>
      </w:r>
    </w:p>
    <w:p w14:paraId="3092C12D" w14:textId="77777777" w:rsidR="00C554E2" w:rsidRPr="00DA6177" w:rsidRDefault="00C554E2" w:rsidP="00C554E2">
      <w:pPr>
        <w:ind w:left="720"/>
        <w:rPr>
          <w:rFonts w:eastAsia="Calibri"/>
        </w:rPr>
      </w:pPr>
      <w:r w:rsidRPr="00DA6177">
        <w:rPr>
          <w:rFonts w:eastAsia="Calibri"/>
        </w:rPr>
        <w:sym w:font="Wingdings" w:char="F0FC"/>
      </w:r>
      <w:r w:rsidRPr="00DA6177">
        <w:rPr>
          <w:rFonts w:eastAsia="Calibri"/>
        </w:rPr>
        <w:t xml:space="preserve"> Information for grant holders/applicants </w:t>
      </w:r>
    </w:p>
    <w:p w14:paraId="0909A920" w14:textId="77777777" w:rsidR="00C554E2" w:rsidRPr="00DA6177" w:rsidRDefault="00C554E2" w:rsidP="00C554E2">
      <w:pPr>
        <w:ind w:left="720"/>
        <w:rPr>
          <w:rFonts w:eastAsia="Calibri"/>
        </w:rPr>
      </w:pPr>
      <w:r w:rsidRPr="00DA6177">
        <w:rPr>
          <w:rFonts w:eastAsia="Calibri"/>
        </w:rPr>
        <w:sym w:font="Symbol" w:char="F07F"/>
      </w:r>
      <w:r w:rsidRPr="00DA6177">
        <w:rPr>
          <w:rFonts w:eastAsia="Calibri"/>
        </w:rPr>
        <w:t xml:space="preserve"> Requirement under legislation </w:t>
      </w:r>
    </w:p>
    <w:p w14:paraId="52A9F8EE" w14:textId="77777777" w:rsidR="00C554E2" w:rsidRDefault="00C554E2" w:rsidP="00C554E2">
      <w:pPr>
        <w:ind w:left="720"/>
        <w:rPr>
          <w:rFonts w:eastAsia="Calibri"/>
        </w:rPr>
      </w:pPr>
      <w:r w:rsidRPr="00DA6177">
        <w:rPr>
          <w:rFonts w:eastAsia="Calibri"/>
        </w:rPr>
        <w:sym w:font="Symbol" w:char="F07F"/>
      </w:r>
      <w:r w:rsidRPr="00DA6177">
        <w:rPr>
          <w:rFonts w:eastAsia="Calibri"/>
        </w:rPr>
        <w:t xml:space="preserve"> Requirement under the Code of Practice for the Governance of State Bodies </w:t>
      </w:r>
    </w:p>
    <w:p w14:paraId="5DBFA72A" w14:textId="77777777" w:rsidR="00C554E2" w:rsidRDefault="00C554E2" w:rsidP="00C554E2">
      <w:pPr>
        <w:ind w:left="720"/>
        <w:rPr>
          <w:rFonts w:eastAsia="Calibr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1701"/>
        <w:gridCol w:w="4252"/>
      </w:tblGrid>
      <w:tr w:rsidR="00C554E2" w14:paraId="7C001879" w14:textId="77777777" w:rsidTr="00335AC8">
        <w:tc>
          <w:tcPr>
            <w:tcW w:w="8613" w:type="dxa"/>
            <w:gridSpan w:val="4"/>
            <w:shd w:val="clear" w:color="auto" w:fill="D9E2F3"/>
          </w:tcPr>
          <w:p w14:paraId="1C7CD4E5" w14:textId="77777777" w:rsidR="00C554E2" w:rsidRPr="00A434A4" w:rsidRDefault="00C554E2" w:rsidP="00335AC8">
            <w:pPr>
              <w:jc w:val="center"/>
              <w:rPr>
                <w:rFonts w:cs="Calibri"/>
                <w:b/>
                <w:szCs w:val="36"/>
              </w:rPr>
            </w:pPr>
            <w:r w:rsidRPr="00A434A4">
              <w:rPr>
                <w:rFonts w:cs="Calibri"/>
                <w:b/>
                <w:szCs w:val="36"/>
              </w:rPr>
              <w:t>Website publication history</w:t>
            </w:r>
          </w:p>
        </w:tc>
      </w:tr>
      <w:tr w:rsidR="00C554E2" w:rsidRPr="002E19EC" w14:paraId="2E9104C7" w14:textId="77777777" w:rsidTr="00335AC8">
        <w:tc>
          <w:tcPr>
            <w:tcW w:w="1526" w:type="dxa"/>
            <w:shd w:val="clear" w:color="auto" w:fill="auto"/>
          </w:tcPr>
          <w:p w14:paraId="2AB7DE82" w14:textId="77777777" w:rsidR="00C554E2" w:rsidRPr="00A434A4" w:rsidRDefault="00C554E2" w:rsidP="00335AC8">
            <w:pPr>
              <w:rPr>
                <w:rFonts w:cs="Calibri"/>
                <w:b/>
                <w:szCs w:val="36"/>
              </w:rPr>
            </w:pPr>
            <w:r w:rsidRPr="00A434A4">
              <w:rPr>
                <w:rFonts w:cs="Calibri"/>
                <w:b/>
                <w:szCs w:val="36"/>
              </w:rPr>
              <w:t>Date published</w:t>
            </w:r>
          </w:p>
        </w:tc>
        <w:tc>
          <w:tcPr>
            <w:tcW w:w="1134" w:type="dxa"/>
            <w:shd w:val="clear" w:color="auto" w:fill="auto"/>
          </w:tcPr>
          <w:p w14:paraId="6ADFE123" w14:textId="77777777" w:rsidR="00C554E2" w:rsidRPr="00A434A4" w:rsidRDefault="00C554E2" w:rsidP="00335AC8">
            <w:pPr>
              <w:rPr>
                <w:rFonts w:cs="Calibri"/>
                <w:b/>
                <w:szCs w:val="36"/>
              </w:rPr>
            </w:pPr>
            <w:r w:rsidRPr="00A434A4">
              <w:rPr>
                <w:rFonts w:cs="Calibri"/>
                <w:b/>
                <w:szCs w:val="36"/>
              </w:rPr>
              <w:t>Version published</w:t>
            </w:r>
          </w:p>
        </w:tc>
        <w:tc>
          <w:tcPr>
            <w:tcW w:w="1701" w:type="dxa"/>
            <w:shd w:val="clear" w:color="auto" w:fill="auto"/>
          </w:tcPr>
          <w:p w14:paraId="29CCF999" w14:textId="77777777" w:rsidR="00C554E2" w:rsidRPr="00A434A4" w:rsidRDefault="00C554E2" w:rsidP="00335AC8">
            <w:pPr>
              <w:rPr>
                <w:rFonts w:cs="Calibri"/>
                <w:b/>
                <w:szCs w:val="36"/>
              </w:rPr>
            </w:pPr>
            <w:r w:rsidRPr="00A434A4">
              <w:rPr>
                <w:rFonts w:cs="Calibri"/>
                <w:b/>
                <w:szCs w:val="36"/>
              </w:rPr>
              <w:t>Website Publication authorised by (name)</w:t>
            </w:r>
          </w:p>
        </w:tc>
        <w:tc>
          <w:tcPr>
            <w:tcW w:w="4252" w:type="dxa"/>
            <w:shd w:val="clear" w:color="auto" w:fill="auto"/>
          </w:tcPr>
          <w:p w14:paraId="37901C0E" w14:textId="77777777" w:rsidR="00C554E2" w:rsidRPr="00A434A4" w:rsidRDefault="00C554E2" w:rsidP="00335AC8">
            <w:pPr>
              <w:rPr>
                <w:rFonts w:cs="Calibri"/>
                <w:b/>
                <w:szCs w:val="36"/>
              </w:rPr>
            </w:pPr>
            <w:r w:rsidRPr="00A434A4">
              <w:rPr>
                <w:rFonts w:cs="Calibri"/>
                <w:b/>
                <w:szCs w:val="36"/>
              </w:rPr>
              <w:t>Location on website</w:t>
            </w:r>
          </w:p>
        </w:tc>
      </w:tr>
      <w:tr w:rsidR="00C554E2" w14:paraId="0B186C12" w14:textId="77777777" w:rsidTr="00335AC8">
        <w:tc>
          <w:tcPr>
            <w:tcW w:w="1526" w:type="dxa"/>
            <w:shd w:val="clear" w:color="auto" w:fill="auto"/>
          </w:tcPr>
          <w:p w14:paraId="0C7108E8" w14:textId="77777777" w:rsidR="00C554E2" w:rsidRPr="00A434A4" w:rsidRDefault="00C554E2" w:rsidP="00335AC8">
            <w:pPr>
              <w:rPr>
                <w:rFonts w:cs="Calibri"/>
                <w:szCs w:val="36"/>
              </w:rPr>
            </w:pPr>
            <w:r>
              <w:rPr>
                <w:rFonts w:cs="Calibri"/>
                <w:szCs w:val="36"/>
              </w:rPr>
              <w:t>1</w:t>
            </w:r>
            <w:r w:rsidRPr="00A434A4">
              <w:rPr>
                <w:rFonts w:cs="Calibri"/>
                <w:szCs w:val="36"/>
              </w:rPr>
              <w:t>6 Jan 2023 (</w:t>
            </w:r>
            <w:r w:rsidRPr="00A434A4">
              <w:rPr>
                <w:rFonts w:eastAsia="Calibri"/>
              </w:rPr>
              <w:t xml:space="preserve">no previous </w:t>
            </w:r>
            <w:r>
              <w:rPr>
                <w:rFonts w:eastAsia="Calibri"/>
              </w:rPr>
              <w:t xml:space="preserve">publication history </w:t>
            </w:r>
            <w:r w:rsidRPr="00A434A4">
              <w:rPr>
                <w:rFonts w:eastAsia="Calibri"/>
              </w:rPr>
              <w:t>available</w:t>
            </w:r>
            <w:r w:rsidRPr="00A434A4">
              <w:rPr>
                <w:rFonts w:cs="Calibri"/>
                <w:szCs w:val="36"/>
              </w:rPr>
              <w:t>)</w:t>
            </w:r>
          </w:p>
        </w:tc>
        <w:tc>
          <w:tcPr>
            <w:tcW w:w="1134" w:type="dxa"/>
            <w:shd w:val="clear" w:color="auto" w:fill="auto"/>
          </w:tcPr>
          <w:p w14:paraId="676F721D" w14:textId="77777777" w:rsidR="00C554E2" w:rsidRPr="00A434A4" w:rsidRDefault="00C554E2" w:rsidP="00335AC8">
            <w:pPr>
              <w:rPr>
                <w:rFonts w:cs="Calibri"/>
                <w:szCs w:val="36"/>
              </w:rPr>
            </w:pPr>
            <w:r w:rsidRPr="00A434A4">
              <w:rPr>
                <w:rFonts w:cs="Calibri"/>
                <w:szCs w:val="36"/>
              </w:rPr>
              <w:t>V5.0</w:t>
            </w:r>
          </w:p>
        </w:tc>
        <w:tc>
          <w:tcPr>
            <w:tcW w:w="1701" w:type="dxa"/>
            <w:shd w:val="clear" w:color="auto" w:fill="auto"/>
          </w:tcPr>
          <w:p w14:paraId="3979A777" w14:textId="77777777" w:rsidR="00C554E2" w:rsidRPr="00A434A4" w:rsidRDefault="00C554E2" w:rsidP="00335AC8">
            <w:pPr>
              <w:rPr>
                <w:rFonts w:cs="Calibri"/>
                <w:szCs w:val="36"/>
              </w:rPr>
            </w:pPr>
            <w:r w:rsidRPr="00A434A4">
              <w:rPr>
                <w:rFonts w:cs="Calibri"/>
                <w:szCs w:val="36"/>
              </w:rPr>
              <w:t>Caitriona Creely</w:t>
            </w:r>
          </w:p>
        </w:tc>
        <w:tc>
          <w:tcPr>
            <w:tcW w:w="4252" w:type="dxa"/>
            <w:shd w:val="clear" w:color="auto" w:fill="auto"/>
          </w:tcPr>
          <w:p w14:paraId="0B1A4D69" w14:textId="77777777" w:rsidR="00C554E2" w:rsidRPr="00A434A4" w:rsidRDefault="00000000" w:rsidP="00335AC8">
            <w:pPr>
              <w:rPr>
                <w:rFonts w:cs="Calibri"/>
                <w:szCs w:val="36"/>
              </w:rPr>
            </w:pPr>
            <w:hyperlink r:id="rId13" w:history="1">
              <w:r w:rsidR="00C554E2" w:rsidRPr="00603AC2">
                <w:rPr>
                  <w:rStyle w:val="Hyperlink"/>
                  <w:rFonts w:cs="Calibri"/>
                  <w:szCs w:val="36"/>
                </w:rPr>
                <w:t>https://www.hrb.ie/funding/funding-schemes/before-you-apply/all-grant-policies/payment-of-social-benefits/</w:t>
              </w:r>
            </w:hyperlink>
            <w:r w:rsidR="00C554E2">
              <w:rPr>
                <w:rFonts w:cs="Calibri"/>
                <w:szCs w:val="36"/>
              </w:rPr>
              <w:t xml:space="preserve"> </w:t>
            </w:r>
          </w:p>
        </w:tc>
      </w:tr>
      <w:tr w:rsidR="00C554E2" w14:paraId="0D3B99E7" w14:textId="77777777" w:rsidTr="00335AC8">
        <w:tc>
          <w:tcPr>
            <w:tcW w:w="1526" w:type="dxa"/>
            <w:shd w:val="clear" w:color="auto" w:fill="auto"/>
          </w:tcPr>
          <w:p w14:paraId="42F6A77C" w14:textId="77777777" w:rsidR="00C554E2" w:rsidRDefault="00C554E2" w:rsidP="00335AC8">
            <w:pPr>
              <w:rPr>
                <w:rFonts w:cs="Calibri"/>
                <w:szCs w:val="36"/>
              </w:rPr>
            </w:pPr>
            <w:r>
              <w:rPr>
                <w:rFonts w:cs="Calibri"/>
                <w:szCs w:val="36"/>
              </w:rPr>
              <w:t>Date TBC</w:t>
            </w:r>
          </w:p>
        </w:tc>
        <w:tc>
          <w:tcPr>
            <w:tcW w:w="1134" w:type="dxa"/>
            <w:shd w:val="clear" w:color="auto" w:fill="auto"/>
          </w:tcPr>
          <w:p w14:paraId="0B841BB0" w14:textId="77777777" w:rsidR="00C554E2" w:rsidRPr="00A434A4" w:rsidRDefault="00C554E2" w:rsidP="00335AC8">
            <w:pPr>
              <w:rPr>
                <w:rFonts w:cs="Calibri"/>
                <w:szCs w:val="36"/>
              </w:rPr>
            </w:pPr>
            <w:r>
              <w:rPr>
                <w:rFonts w:cs="Calibri"/>
                <w:szCs w:val="36"/>
              </w:rPr>
              <w:t>V 6.0</w:t>
            </w:r>
          </w:p>
        </w:tc>
        <w:tc>
          <w:tcPr>
            <w:tcW w:w="1701" w:type="dxa"/>
            <w:shd w:val="clear" w:color="auto" w:fill="auto"/>
          </w:tcPr>
          <w:p w14:paraId="6626E808" w14:textId="77777777" w:rsidR="00C554E2" w:rsidRPr="00A434A4" w:rsidRDefault="00C554E2" w:rsidP="00335AC8">
            <w:pPr>
              <w:rPr>
                <w:rFonts w:cs="Calibri"/>
                <w:szCs w:val="36"/>
              </w:rPr>
            </w:pPr>
            <w:r>
              <w:rPr>
                <w:rFonts w:cs="Calibri"/>
                <w:szCs w:val="36"/>
              </w:rPr>
              <w:t>Caitriona Creely</w:t>
            </w:r>
          </w:p>
        </w:tc>
        <w:tc>
          <w:tcPr>
            <w:tcW w:w="4252" w:type="dxa"/>
            <w:shd w:val="clear" w:color="auto" w:fill="auto"/>
          </w:tcPr>
          <w:p w14:paraId="7DA0647A" w14:textId="77777777" w:rsidR="00C554E2" w:rsidRDefault="00C554E2" w:rsidP="00335AC8">
            <w:pPr>
              <w:rPr>
                <w:rFonts w:cs="Calibri"/>
                <w:szCs w:val="36"/>
              </w:rPr>
            </w:pPr>
          </w:p>
        </w:tc>
      </w:tr>
    </w:tbl>
    <w:p w14:paraId="428BF6E1" w14:textId="77777777" w:rsidR="00C554E2" w:rsidRDefault="00C554E2" w:rsidP="00C554E2">
      <w:pPr>
        <w:rPr>
          <w:rFonts w:eastAsia="Calibri"/>
        </w:rPr>
      </w:pPr>
    </w:p>
    <w:p w14:paraId="0E8AE5EA" w14:textId="77777777" w:rsidR="00C554E2" w:rsidRPr="00DA6177" w:rsidRDefault="00C554E2" w:rsidP="00C554E2">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246"/>
        <w:gridCol w:w="1524"/>
        <w:gridCol w:w="4566"/>
      </w:tblGrid>
      <w:tr w:rsidR="00C554E2" w:rsidRPr="00DA6177" w14:paraId="65BB902E" w14:textId="77777777" w:rsidTr="00335AC8">
        <w:tc>
          <w:tcPr>
            <w:tcW w:w="8522" w:type="dxa"/>
            <w:gridSpan w:val="4"/>
            <w:shd w:val="clear" w:color="auto" w:fill="D5DCE4"/>
          </w:tcPr>
          <w:p w14:paraId="01A30320" w14:textId="77777777" w:rsidR="00C554E2" w:rsidRPr="00DA6177" w:rsidRDefault="00C554E2" w:rsidP="00335AC8">
            <w:pPr>
              <w:rPr>
                <w:rFonts w:eastAsia="Calibri"/>
                <w:b/>
                <w:bCs/>
                <w:color w:val="17479E"/>
              </w:rPr>
            </w:pPr>
            <w:r w:rsidRPr="00DA6177">
              <w:rPr>
                <w:rFonts w:eastAsia="Calibri"/>
                <w:b/>
                <w:bCs/>
                <w:color w:val="17479E"/>
              </w:rPr>
              <w:t xml:space="preserve">Edits </w:t>
            </w:r>
          </w:p>
        </w:tc>
      </w:tr>
      <w:tr w:rsidR="00C554E2" w:rsidRPr="00963050" w14:paraId="0EFA4C7E" w14:textId="77777777" w:rsidTr="00335AC8">
        <w:trPr>
          <w:trHeight w:val="822"/>
        </w:trPr>
        <w:tc>
          <w:tcPr>
            <w:tcW w:w="1186" w:type="dxa"/>
            <w:shd w:val="clear" w:color="auto" w:fill="auto"/>
          </w:tcPr>
          <w:p w14:paraId="67971F55" w14:textId="77777777" w:rsidR="00C554E2" w:rsidRPr="00DA6177" w:rsidRDefault="00C554E2" w:rsidP="00335AC8">
            <w:pPr>
              <w:rPr>
                <w:rFonts w:eastAsia="Calibri"/>
                <w:b/>
              </w:rPr>
            </w:pPr>
            <w:r w:rsidRPr="00DA6177">
              <w:rPr>
                <w:rFonts w:eastAsia="Calibri"/>
                <w:b/>
              </w:rPr>
              <w:t>Version control</w:t>
            </w:r>
          </w:p>
        </w:tc>
        <w:tc>
          <w:tcPr>
            <w:tcW w:w="1246" w:type="dxa"/>
            <w:shd w:val="clear" w:color="auto" w:fill="auto"/>
          </w:tcPr>
          <w:p w14:paraId="2B99F764" w14:textId="77777777" w:rsidR="00C554E2" w:rsidRPr="00DA6177" w:rsidRDefault="00C554E2" w:rsidP="00335AC8">
            <w:pPr>
              <w:rPr>
                <w:rFonts w:eastAsia="Calibri"/>
                <w:b/>
              </w:rPr>
            </w:pPr>
            <w:r w:rsidRPr="00DA6177">
              <w:rPr>
                <w:rFonts w:eastAsia="Calibri"/>
                <w:b/>
              </w:rPr>
              <w:t>Name</w:t>
            </w:r>
          </w:p>
        </w:tc>
        <w:tc>
          <w:tcPr>
            <w:tcW w:w="1524" w:type="dxa"/>
            <w:shd w:val="clear" w:color="auto" w:fill="auto"/>
          </w:tcPr>
          <w:p w14:paraId="4CB4864D" w14:textId="77777777" w:rsidR="00C554E2" w:rsidRPr="00DA6177" w:rsidRDefault="00C554E2" w:rsidP="00335AC8">
            <w:pPr>
              <w:rPr>
                <w:rFonts w:eastAsia="Calibri"/>
                <w:b/>
              </w:rPr>
            </w:pPr>
            <w:r w:rsidRPr="00DA6177">
              <w:rPr>
                <w:rFonts w:eastAsia="Calibri"/>
                <w:b/>
              </w:rPr>
              <w:t>Date</w:t>
            </w:r>
          </w:p>
        </w:tc>
        <w:tc>
          <w:tcPr>
            <w:tcW w:w="4566" w:type="dxa"/>
            <w:shd w:val="clear" w:color="auto" w:fill="auto"/>
          </w:tcPr>
          <w:p w14:paraId="4491230C" w14:textId="77777777" w:rsidR="00C554E2" w:rsidRPr="00DA6177" w:rsidRDefault="00C554E2" w:rsidP="00335AC8">
            <w:pPr>
              <w:rPr>
                <w:rFonts w:eastAsia="Calibri"/>
                <w:b/>
              </w:rPr>
            </w:pPr>
            <w:r w:rsidRPr="00DA6177">
              <w:rPr>
                <w:rFonts w:eastAsia="Calibri"/>
                <w:b/>
              </w:rPr>
              <w:t>Changes</w:t>
            </w:r>
          </w:p>
        </w:tc>
      </w:tr>
      <w:tr w:rsidR="00C554E2" w:rsidRPr="00963050" w14:paraId="522B6915" w14:textId="77777777" w:rsidTr="00335AC8">
        <w:tc>
          <w:tcPr>
            <w:tcW w:w="1186" w:type="dxa"/>
            <w:shd w:val="clear" w:color="auto" w:fill="auto"/>
          </w:tcPr>
          <w:p w14:paraId="33553C0A" w14:textId="77777777" w:rsidR="00C554E2" w:rsidRPr="00DA6177" w:rsidRDefault="00C554E2" w:rsidP="00335AC8">
            <w:pPr>
              <w:rPr>
                <w:rFonts w:eastAsia="Calibri"/>
              </w:rPr>
            </w:pPr>
            <w:r w:rsidRPr="00963050">
              <w:rPr>
                <w:rFonts w:eastAsia="Calibri"/>
              </w:rPr>
              <w:t>V5.0</w:t>
            </w:r>
            <w:r>
              <w:rPr>
                <w:rFonts w:eastAsia="Calibri"/>
              </w:rPr>
              <w:t xml:space="preserve"> (no previous VCS available)</w:t>
            </w:r>
          </w:p>
        </w:tc>
        <w:tc>
          <w:tcPr>
            <w:tcW w:w="1246" w:type="dxa"/>
            <w:shd w:val="clear" w:color="auto" w:fill="auto"/>
          </w:tcPr>
          <w:p w14:paraId="67ED234C" w14:textId="77777777" w:rsidR="00C554E2" w:rsidRPr="00DA6177" w:rsidRDefault="00C554E2" w:rsidP="00335AC8">
            <w:pPr>
              <w:rPr>
                <w:rFonts w:eastAsia="Calibri"/>
                <w:bCs/>
              </w:rPr>
            </w:pPr>
            <w:r w:rsidRPr="00CC4117">
              <w:rPr>
                <w:rFonts w:eastAsia="Calibri"/>
                <w:bCs/>
              </w:rPr>
              <w:t>Caitriona Creely (approved by RSF Dir)</w:t>
            </w:r>
          </w:p>
        </w:tc>
        <w:tc>
          <w:tcPr>
            <w:tcW w:w="1524" w:type="dxa"/>
            <w:shd w:val="clear" w:color="auto" w:fill="auto"/>
          </w:tcPr>
          <w:p w14:paraId="0F700862" w14:textId="77777777" w:rsidR="00C554E2" w:rsidRPr="00DA6177" w:rsidRDefault="00C554E2" w:rsidP="00335AC8">
            <w:pPr>
              <w:rPr>
                <w:rFonts w:eastAsia="Calibri"/>
                <w:bCs/>
              </w:rPr>
            </w:pPr>
            <w:r w:rsidRPr="00963050">
              <w:rPr>
                <w:rFonts w:eastAsia="Calibri"/>
                <w:bCs/>
              </w:rPr>
              <w:t>0</w:t>
            </w:r>
            <w:r>
              <w:rPr>
                <w:rFonts w:eastAsia="Calibri"/>
                <w:bCs/>
              </w:rPr>
              <w:t>6 Jan 2023</w:t>
            </w:r>
          </w:p>
        </w:tc>
        <w:tc>
          <w:tcPr>
            <w:tcW w:w="4566" w:type="dxa"/>
            <w:shd w:val="clear" w:color="auto" w:fill="auto"/>
          </w:tcPr>
          <w:p w14:paraId="57FE4F0C" w14:textId="77777777" w:rsidR="00C554E2" w:rsidRPr="00963050" w:rsidRDefault="00C554E2" w:rsidP="00335AC8">
            <w:pPr>
              <w:rPr>
                <w:rFonts w:eastAsia="Calibri" w:cs="Calibri"/>
                <w:lang w:val="en-US"/>
              </w:rPr>
            </w:pPr>
            <w:r w:rsidRPr="003759C9">
              <w:rPr>
                <w:rFonts w:eastAsia="MS Mincho" w:cs="Calibri"/>
                <w:szCs w:val="36"/>
              </w:rPr>
              <w:t>Edits to</w:t>
            </w:r>
            <w:r w:rsidRPr="003759C9">
              <w:rPr>
                <w:rFonts w:eastAsia="MS Mincho" w:cs="Calibri"/>
                <w:color w:val="000000"/>
                <w:szCs w:val="36"/>
                <w:lang w:eastAsia="en-IE"/>
              </w:rPr>
              <w:t xml:space="preserve"> clarify that no variation request will be considered after the end date of the grant</w:t>
            </w:r>
          </w:p>
        </w:tc>
      </w:tr>
      <w:tr w:rsidR="00C554E2" w:rsidRPr="00963050" w14:paraId="4D586576" w14:textId="77777777" w:rsidTr="00335AC8">
        <w:tc>
          <w:tcPr>
            <w:tcW w:w="1186" w:type="dxa"/>
            <w:shd w:val="clear" w:color="auto" w:fill="auto"/>
          </w:tcPr>
          <w:p w14:paraId="666B2FC8" w14:textId="77777777" w:rsidR="00C554E2" w:rsidRPr="00963050" w:rsidRDefault="00C554E2" w:rsidP="00335AC8">
            <w:pPr>
              <w:rPr>
                <w:rFonts w:eastAsia="Calibri"/>
              </w:rPr>
            </w:pPr>
            <w:r>
              <w:rPr>
                <w:rFonts w:eastAsia="Calibri"/>
              </w:rPr>
              <w:t>V6.0</w:t>
            </w:r>
          </w:p>
        </w:tc>
        <w:tc>
          <w:tcPr>
            <w:tcW w:w="1246" w:type="dxa"/>
            <w:shd w:val="clear" w:color="auto" w:fill="auto"/>
          </w:tcPr>
          <w:p w14:paraId="3914EDBD" w14:textId="77777777" w:rsidR="00C554E2" w:rsidRPr="00CC4117" w:rsidRDefault="00C554E2" w:rsidP="00335AC8">
            <w:pPr>
              <w:rPr>
                <w:rFonts w:eastAsia="Calibri"/>
                <w:bCs/>
              </w:rPr>
            </w:pPr>
            <w:r>
              <w:rPr>
                <w:rFonts w:eastAsia="Calibri"/>
                <w:bCs/>
              </w:rPr>
              <w:t>Caitriona Creely</w:t>
            </w:r>
          </w:p>
        </w:tc>
        <w:tc>
          <w:tcPr>
            <w:tcW w:w="1524" w:type="dxa"/>
            <w:shd w:val="clear" w:color="auto" w:fill="auto"/>
          </w:tcPr>
          <w:p w14:paraId="72F13C94" w14:textId="77777777" w:rsidR="00C554E2" w:rsidRPr="003A29FA" w:rsidRDefault="00C554E2" w:rsidP="00335AC8">
            <w:pPr>
              <w:rPr>
                <w:rFonts w:eastAsia="Calibri"/>
                <w:bCs/>
                <w:highlight w:val="yellow"/>
              </w:rPr>
            </w:pPr>
            <w:r w:rsidRPr="003A29FA">
              <w:rPr>
                <w:rFonts w:eastAsia="Calibri"/>
                <w:bCs/>
                <w:highlight w:val="yellow"/>
              </w:rPr>
              <w:t>Date TBC</w:t>
            </w:r>
          </w:p>
        </w:tc>
        <w:tc>
          <w:tcPr>
            <w:tcW w:w="4566" w:type="dxa"/>
            <w:shd w:val="clear" w:color="auto" w:fill="auto"/>
          </w:tcPr>
          <w:p w14:paraId="2BAE0090" w14:textId="77777777" w:rsidR="00C554E2" w:rsidRPr="003A29FA" w:rsidRDefault="00C554E2" w:rsidP="00335AC8">
            <w:pPr>
              <w:rPr>
                <w:rFonts w:eastAsia="MS Mincho" w:cs="Calibri"/>
                <w:szCs w:val="36"/>
                <w:highlight w:val="yellow"/>
              </w:rPr>
            </w:pPr>
            <w:r w:rsidRPr="003A29FA">
              <w:rPr>
                <w:rFonts w:eastAsia="MS Mincho" w:cs="Calibri"/>
                <w:szCs w:val="36"/>
                <w:highlight w:val="yellow"/>
              </w:rPr>
              <w:t>Edits to align with changes agreed as part of the budget framework discussions, as agreed with RSF and Finance, some references updated</w:t>
            </w:r>
          </w:p>
        </w:tc>
      </w:tr>
    </w:tbl>
    <w:p w14:paraId="53392ED7" w14:textId="77777777" w:rsidR="00C554E2" w:rsidRPr="00DA6177" w:rsidRDefault="00C554E2" w:rsidP="00C554E2">
      <w:pPr>
        <w:shd w:val="clear" w:color="auto" w:fill="FDFDFD"/>
        <w:spacing w:before="100" w:beforeAutospacing="1" w:after="100" w:afterAutospacing="1"/>
        <w:rPr>
          <w:rFonts w:cs="Calibri"/>
          <w:lang w:eastAsia="en-IE"/>
        </w:rPr>
      </w:pPr>
    </w:p>
    <w:p w14:paraId="53C6D92D" w14:textId="77777777" w:rsidR="00C554E2" w:rsidRPr="00587659" w:rsidRDefault="00C554E2" w:rsidP="00C554E2">
      <w:pPr>
        <w:jc w:val="both"/>
      </w:pPr>
    </w:p>
    <w:p w14:paraId="6DAB33EB" w14:textId="77777777" w:rsidR="00651249" w:rsidRPr="005A7C0F" w:rsidRDefault="00651249" w:rsidP="005A7C0F">
      <w:pPr>
        <w:shd w:val="clear" w:color="auto" w:fill="FDFDFD"/>
        <w:spacing w:before="100" w:beforeAutospacing="1" w:after="100" w:afterAutospacing="1"/>
        <w:rPr>
          <w:rFonts w:eastAsia="Times New Roman" w:cstheme="minorHAnsi"/>
          <w:lang w:eastAsia="en-IE"/>
        </w:rPr>
      </w:pPr>
    </w:p>
    <w:sectPr w:rsidR="00651249" w:rsidRPr="005A7C0F" w:rsidSect="0002741B">
      <w:headerReference w:type="default" r:id="rId14"/>
      <w:footerReference w:type="default" r:id="rId15"/>
      <w:footerReference w:type="first" r:id="rId16"/>
      <w:pgSz w:w="11900" w:h="16840" w:code="9"/>
      <w:pgMar w:top="1418" w:right="1418" w:bottom="1418" w:left="1418"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302E" w14:textId="77777777" w:rsidR="0002741B" w:rsidRDefault="0002741B" w:rsidP="008E0671">
      <w:r>
        <w:separator/>
      </w:r>
    </w:p>
    <w:p w14:paraId="197F1E71" w14:textId="77777777" w:rsidR="0002741B" w:rsidRDefault="0002741B" w:rsidP="008E0671"/>
    <w:p w14:paraId="3CBFA4B3" w14:textId="77777777" w:rsidR="0002741B" w:rsidRDefault="0002741B" w:rsidP="008E0671"/>
    <w:p w14:paraId="1F1E4417" w14:textId="77777777" w:rsidR="0002741B" w:rsidRDefault="0002741B" w:rsidP="008E0671"/>
    <w:p w14:paraId="6726F0C2" w14:textId="77777777" w:rsidR="0002741B" w:rsidRDefault="0002741B" w:rsidP="008E0671"/>
    <w:p w14:paraId="5BEF2A7A" w14:textId="77777777" w:rsidR="0002741B" w:rsidRDefault="0002741B" w:rsidP="008E0671"/>
  </w:endnote>
  <w:endnote w:type="continuationSeparator" w:id="0">
    <w:p w14:paraId="2BE4C2CF" w14:textId="77777777" w:rsidR="0002741B" w:rsidRDefault="0002741B" w:rsidP="008E0671">
      <w:r>
        <w:continuationSeparator/>
      </w:r>
    </w:p>
    <w:p w14:paraId="02124783" w14:textId="77777777" w:rsidR="0002741B" w:rsidRDefault="0002741B" w:rsidP="008E0671"/>
    <w:p w14:paraId="124E1012" w14:textId="77777777" w:rsidR="0002741B" w:rsidRDefault="0002741B" w:rsidP="008E0671"/>
    <w:p w14:paraId="57CB4976" w14:textId="77777777" w:rsidR="0002741B" w:rsidRDefault="0002741B" w:rsidP="008E0671"/>
    <w:p w14:paraId="2CCE0E92" w14:textId="77777777" w:rsidR="0002741B" w:rsidRDefault="0002741B" w:rsidP="008E0671"/>
    <w:p w14:paraId="7811B8F9" w14:textId="77777777" w:rsidR="0002741B" w:rsidRDefault="0002741B" w:rsidP="008E0671"/>
  </w:endnote>
  <w:endnote w:type="continuationNotice" w:id="1">
    <w:p w14:paraId="1628B77E" w14:textId="77777777" w:rsidR="0002741B" w:rsidRDefault="00027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9F27" w14:textId="77777777" w:rsidR="0002741B" w:rsidRPr="00C3449B" w:rsidRDefault="0002741B" w:rsidP="008E0671">
      <w:pPr>
        <w:rPr>
          <w:color w:val="17479E" w:themeColor="text2"/>
          <w:sz w:val="18"/>
          <w:szCs w:val="18"/>
        </w:rPr>
      </w:pPr>
      <w:r w:rsidRPr="00C3449B">
        <w:rPr>
          <w:color w:val="17479E" w:themeColor="text2"/>
          <w:sz w:val="18"/>
          <w:szCs w:val="18"/>
        </w:rPr>
        <w:separator/>
      </w:r>
    </w:p>
  </w:footnote>
  <w:footnote w:type="continuationSeparator" w:id="0">
    <w:p w14:paraId="7B2DFFEA" w14:textId="77777777" w:rsidR="0002741B" w:rsidRPr="00C3449B" w:rsidRDefault="0002741B" w:rsidP="008E0671">
      <w:pPr>
        <w:rPr>
          <w:color w:val="17479E" w:themeColor="text2"/>
          <w:sz w:val="18"/>
          <w:szCs w:val="18"/>
        </w:rPr>
      </w:pPr>
      <w:r w:rsidRPr="00C3449B">
        <w:rPr>
          <w:color w:val="17479E" w:themeColor="text2"/>
          <w:sz w:val="18"/>
          <w:szCs w:val="18"/>
        </w:rPr>
        <w:continuationSeparator/>
      </w:r>
    </w:p>
  </w:footnote>
  <w:footnote w:type="continuationNotice" w:id="1">
    <w:p w14:paraId="0B34F029" w14:textId="77777777" w:rsidR="0002741B" w:rsidRPr="00C3449B" w:rsidRDefault="0002741B">
      <w:pPr>
        <w:spacing w:after="0" w:line="240" w:lineRule="auto"/>
        <w:rPr>
          <w:sz w:val="18"/>
          <w:szCs w:val="18"/>
        </w:rPr>
      </w:pPr>
    </w:p>
  </w:footnote>
  <w:footnote w:id="2">
    <w:p w14:paraId="4EB62D9E" w14:textId="220CF209" w:rsidR="00FB2ADF" w:rsidRPr="00587659" w:rsidRDefault="00FB2ADF" w:rsidP="00FB2ADF">
      <w:pPr>
        <w:rPr>
          <w:rFonts w:cs="Tahoma"/>
          <w:color w:val="000000"/>
          <w:sz w:val="18"/>
          <w:szCs w:val="18"/>
          <w:lang w:val="en-GB" w:eastAsia="en-GB"/>
        </w:rPr>
      </w:pPr>
      <w:r w:rsidRPr="00587659">
        <w:rPr>
          <w:rStyle w:val="FootnoteReference"/>
          <w:sz w:val="18"/>
          <w:szCs w:val="18"/>
        </w:rPr>
        <w:footnoteRef/>
      </w:r>
      <w:r w:rsidRPr="00587659">
        <w:rPr>
          <w:sz w:val="18"/>
          <w:szCs w:val="18"/>
        </w:rPr>
        <w:t xml:space="preserve"> Eligible persons are those who have </w:t>
      </w:r>
      <w:r w:rsidRPr="00587659">
        <w:rPr>
          <w:sz w:val="18"/>
          <w:szCs w:val="18"/>
          <w:lang w:val="en-GB" w:eastAsia="en-GB"/>
        </w:rPr>
        <w:t xml:space="preserve">at least 39 weeks PRSI paid contributions in the </w:t>
      </w:r>
      <w:r w:rsidR="002741C2" w:rsidRPr="00587659">
        <w:rPr>
          <w:sz w:val="18"/>
          <w:szCs w:val="18"/>
          <w:lang w:val="en-GB" w:eastAsia="en-GB"/>
        </w:rPr>
        <w:t>12-month</w:t>
      </w:r>
      <w:r w:rsidRPr="00587659">
        <w:rPr>
          <w:sz w:val="18"/>
          <w:szCs w:val="18"/>
          <w:lang w:val="en-GB" w:eastAsia="en-GB"/>
        </w:rPr>
        <w:t xml:space="preserve"> period before the first day of maternity leave or date of placement of your child or at least 39 weeks PRSI paid contributions since first starting work </w:t>
      </w:r>
      <w:r w:rsidRPr="00587659">
        <w:rPr>
          <w:b/>
          <w:bCs/>
          <w:sz w:val="18"/>
          <w:szCs w:val="18"/>
          <w:lang w:val="en-GB" w:eastAsia="en-GB"/>
        </w:rPr>
        <w:t>and</w:t>
      </w:r>
      <w:r w:rsidRPr="00587659">
        <w:rPr>
          <w:sz w:val="18"/>
          <w:szCs w:val="18"/>
          <w:lang w:val="en-GB" w:eastAsia="en-GB"/>
        </w:rPr>
        <w:t xml:space="preserve"> at least 39 weeks PRSI paid or credited contributions in the relevant tax year or in the year following the relevant tax year. Alternatively</w:t>
      </w:r>
      <w:r w:rsidR="002741C2">
        <w:rPr>
          <w:sz w:val="18"/>
          <w:szCs w:val="18"/>
          <w:lang w:val="en-GB" w:eastAsia="en-GB"/>
        </w:rPr>
        <w:t>,</w:t>
      </w:r>
      <w:r w:rsidRPr="00587659">
        <w:rPr>
          <w:sz w:val="18"/>
          <w:szCs w:val="18"/>
          <w:lang w:val="en-GB" w:eastAsia="en-GB"/>
        </w:rPr>
        <w:t xml:space="preserve"> you must have at least 26 weeks PRSI paid contributions in the relevant tax year </w:t>
      </w:r>
      <w:r w:rsidRPr="00587659">
        <w:rPr>
          <w:b/>
          <w:bCs/>
          <w:sz w:val="18"/>
          <w:szCs w:val="18"/>
          <w:lang w:val="en-GB" w:eastAsia="en-GB"/>
        </w:rPr>
        <w:t>and</w:t>
      </w:r>
      <w:r w:rsidRPr="00587659">
        <w:rPr>
          <w:sz w:val="18"/>
          <w:szCs w:val="18"/>
          <w:lang w:val="en-GB" w:eastAsia="en-GB"/>
        </w:rPr>
        <w:t xml:space="preserve"> at least 26 weeks PRSI paid contributions in the tax year prior to the relevant tax year. Only PRSI Classes A, E and H count</w:t>
      </w:r>
    </w:p>
    <w:p w14:paraId="3E00E4BC" w14:textId="77777777" w:rsidR="00FB2ADF" w:rsidRPr="00587659" w:rsidRDefault="00FB2ADF" w:rsidP="00FB2ADF">
      <w:pPr>
        <w:pStyle w:val="FootnoteText"/>
      </w:pPr>
    </w:p>
  </w:footnote>
  <w:footnote w:id="3">
    <w:p w14:paraId="4353CE13" w14:textId="75CA09F7" w:rsidR="00FB2ADF" w:rsidRPr="00680EC1" w:rsidRDefault="00FB2ADF" w:rsidP="00FB2ADF">
      <w:pPr>
        <w:pStyle w:val="FootnoteText"/>
        <w:rPr>
          <w:rFonts w:ascii="Verdana" w:hAnsi="Verdana"/>
          <w:color w:val="000000"/>
        </w:rPr>
      </w:pPr>
      <w:r w:rsidRPr="00587659">
        <w:rPr>
          <w:rStyle w:val="FootnoteReference"/>
          <w:sz w:val="18"/>
        </w:rPr>
        <w:footnoteRef/>
      </w:r>
      <w:r w:rsidRPr="00587659">
        <w:t xml:space="preserve"> </w:t>
      </w:r>
      <w:r w:rsidRPr="00587659">
        <w:rPr>
          <w:rFonts w:cs="Tahoma"/>
        </w:rPr>
        <w:t xml:space="preserve">Eligible persons are those who have </w:t>
      </w:r>
      <w:r w:rsidRPr="00587659">
        <w:rPr>
          <w:rFonts w:cs="Tahoma"/>
          <w:color w:val="000000"/>
        </w:rPr>
        <w:t xml:space="preserve">at least 52 weeks </w:t>
      </w:r>
      <w:r w:rsidRPr="00587659">
        <w:rPr>
          <w:rStyle w:val="HTMLAcronym"/>
          <w:rFonts w:cs="Tahoma"/>
          <w:color w:val="000000"/>
        </w:rPr>
        <w:t>PRSI</w:t>
      </w:r>
      <w:r w:rsidRPr="00587659">
        <w:rPr>
          <w:rFonts w:cs="Tahoma"/>
          <w:color w:val="000000"/>
        </w:rPr>
        <w:t xml:space="preserve"> contributions paid since they first started work </w:t>
      </w:r>
      <w:r w:rsidRPr="00587659">
        <w:rPr>
          <w:rFonts w:cs="Tahoma"/>
          <w:color w:val="000000"/>
          <w:u w:val="single"/>
        </w:rPr>
        <w:t>and</w:t>
      </w:r>
      <w:r w:rsidRPr="00587659">
        <w:rPr>
          <w:rFonts w:cs="Tahoma"/>
          <w:color w:val="000000"/>
        </w:rPr>
        <w:t xml:space="preserve"> 39 weeks </w:t>
      </w:r>
      <w:r w:rsidRPr="00587659">
        <w:rPr>
          <w:rStyle w:val="HTMLAcronym"/>
          <w:rFonts w:cs="Tahoma"/>
          <w:color w:val="000000"/>
        </w:rPr>
        <w:t>PRSI</w:t>
      </w:r>
      <w:r w:rsidRPr="00587659">
        <w:rPr>
          <w:rFonts w:cs="Tahoma"/>
          <w:color w:val="000000"/>
        </w:rPr>
        <w:t xml:space="preserve"> contributions paid in the relevant tax year. Alternatively</w:t>
      </w:r>
      <w:r w:rsidR="002741C2">
        <w:rPr>
          <w:rFonts w:cs="Tahoma"/>
          <w:color w:val="000000"/>
        </w:rPr>
        <w:t>,</w:t>
      </w:r>
      <w:r w:rsidRPr="00587659">
        <w:rPr>
          <w:rFonts w:cs="Tahoma"/>
          <w:color w:val="000000"/>
        </w:rPr>
        <w:t xml:space="preserve"> they must have 26 weeks </w:t>
      </w:r>
      <w:r w:rsidRPr="00587659">
        <w:rPr>
          <w:rStyle w:val="HTMLAcronym"/>
          <w:rFonts w:cs="Tahoma"/>
          <w:color w:val="000000"/>
        </w:rPr>
        <w:t>PRSI</w:t>
      </w:r>
      <w:r w:rsidRPr="00587659">
        <w:rPr>
          <w:rFonts w:cs="Tahoma"/>
          <w:color w:val="000000"/>
        </w:rPr>
        <w:t xml:space="preserve"> contributions paid in the relevant tax year and 26 weeks </w:t>
      </w:r>
      <w:r w:rsidRPr="00587659">
        <w:rPr>
          <w:rStyle w:val="HTMLAcronym"/>
          <w:rFonts w:cs="Tahoma"/>
          <w:color w:val="000000"/>
        </w:rPr>
        <w:t>PRSI</w:t>
      </w:r>
      <w:r w:rsidRPr="00587659">
        <w:rPr>
          <w:rFonts w:cs="Tahoma"/>
          <w:color w:val="000000"/>
        </w:rPr>
        <w:t xml:space="preserve"> contributions paid in the tax year immediately before the relevant tax year.</w:t>
      </w:r>
      <w:r w:rsidRPr="00680EC1">
        <w:rPr>
          <w:rFonts w:ascii="Verdana" w:hAnsi="Verdana"/>
          <w:color w:val="000000"/>
        </w:rPr>
        <w:t xml:space="preserve"> </w:t>
      </w:r>
    </w:p>
  </w:footnote>
  <w:footnote w:id="4">
    <w:p w14:paraId="01157736" w14:textId="77777777" w:rsidR="00FB2ADF" w:rsidRDefault="00FB2ADF" w:rsidP="00FB2ADF">
      <w:pPr>
        <w:pStyle w:val="FootnoteText"/>
      </w:pPr>
      <w:r>
        <w:rPr>
          <w:rStyle w:val="FootnoteReference"/>
        </w:rPr>
        <w:footnoteRef/>
      </w:r>
      <w:r>
        <w:t xml:space="preserve"> </w:t>
      </w:r>
      <w:r w:rsidRPr="00FA07AD">
        <w:t>Please note that the original application to HRB, plus any special T&amp;C agreed during the contracting sets out the “grant funded activities” and forms part of the contract, and any changes to objectives or deliverables requires prior approval from HRB.</w:t>
      </w:r>
    </w:p>
  </w:footnote>
  <w:footnote w:id="5">
    <w:p w14:paraId="2F8B10F5" w14:textId="77777777" w:rsidR="00FB2ADF" w:rsidRPr="00335AC8" w:rsidRDefault="00FB2ADF" w:rsidP="00FB2ADF">
      <w:pPr>
        <w:rPr>
          <w:rFonts w:cs="Calibri"/>
          <w:color w:val="000000"/>
          <w:sz w:val="20"/>
          <w:szCs w:val="20"/>
          <w:lang w:eastAsia="en-IE"/>
        </w:rPr>
      </w:pPr>
      <w:r w:rsidRPr="0000377B">
        <w:rPr>
          <w:rStyle w:val="FootnoteReference"/>
          <w:szCs w:val="20"/>
        </w:rPr>
        <w:footnoteRef/>
      </w:r>
      <w:r w:rsidRPr="0000377B">
        <w:rPr>
          <w:szCs w:val="20"/>
        </w:rPr>
        <w:t xml:space="preserve"> </w:t>
      </w:r>
      <w:r w:rsidRPr="00335AC8">
        <w:rPr>
          <w:rFonts w:cs="Calibri"/>
          <w:color w:val="000000"/>
          <w:sz w:val="20"/>
          <w:szCs w:val="20"/>
          <w:lang w:eastAsia="en-IE"/>
        </w:rPr>
        <w:t xml:space="preserve">Please review as applicable updates following changes to Irish law which offer rights and protections to transgender men who are pregnant or have given birth. Additional provisions have been made where a person has experienced stillbirth or miscarriage, or where a baby has been born premature. </w:t>
      </w:r>
    </w:p>
    <w:p w14:paraId="4746135D" w14:textId="77777777" w:rsidR="00FB2ADF" w:rsidRDefault="00FB2ADF" w:rsidP="00FB2A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Content>
      <w:p w14:paraId="7C4806F4" w14:textId="4DF3039F" w:rsidR="00E43390" w:rsidRPr="004A4330" w:rsidRDefault="003A29FA" w:rsidP="004E1CCD">
        <w:pPr>
          <w:pStyle w:val="HRBHeader"/>
        </w:pPr>
        <w:r>
          <w:t>Payment of Social Benefits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5102"/>
    <w:multiLevelType w:val="hybridMultilevel"/>
    <w:tmpl w:val="157C7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2"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8"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9"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38F3036A"/>
    <w:multiLevelType w:val="multilevel"/>
    <w:tmpl w:val="5C688E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0757AFA"/>
    <w:multiLevelType w:val="hybridMultilevel"/>
    <w:tmpl w:val="8C38CB74"/>
    <w:lvl w:ilvl="0" w:tplc="4F2A928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5"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6" w15:restartNumberingAfterBreak="0">
    <w:nsid w:val="5A2E5012"/>
    <w:multiLevelType w:val="hybridMultilevel"/>
    <w:tmpl w:val="03D0B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26158E"/>
    <w:multiLevelType w:val="hybridMultilevel"/>
    <w:tmpl w:val="EA3E1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7C4512"/>
    <w:multiLevelType w:val="multilevel"/>
    <w:tmpl w:val="F16201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30" w15:restartNumberingAfterBreak="0">
    <w:nsid w:val="64D1746C"/>
    <w:multiLevelType w:val="hybridMultilevel"/>
    <w:tmpl w:val="3C9ED3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71EB15D0"/>
    <w:multiLevelType w:val="multilevel"/>
    <w:tmpl w:val="EC5C4C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2072120977">
    <w:abstractNumId w:val="23"/>
  </w:num>
  <w:num w:numId="2" w16cid:durableId="133527251">
    <w:abstractNumId w:val="16"/>
  </w:num>
  <w:num w:numId="3" w16cid:durableId="2145075904">
    <w:abstractNumId w:val="11"/>
  </w:num>
  <w:num w:numId="4" w16cid:durableId="504172059">
    <w:abstractNumId w:val="14"/>
  </w:num>
  <w:num w:numId="5" w16cid:durableId="1787848611">
    <w:abstractNumId w:val="13"/>
  </w:num>
  <w:num w:numId="6" w16cid:durableId="411051458">
    <w:abstractNumId w:val="15"/>
  </w:num>
  <w:num w:numId="7" w16cid:durableId="1600916421">
    <w:abstractNumId w:val="24"/>
  </w:num>
  <w:num w:numId="8" w16cid:durableId="534318210">
    <w:abstractNumId w:val="14"/>
  </w:num>
  <w:num w:numId="9" w16cid:durableId="1561139162">
    <w:abstractNumId w:val="14"/>
  </w:num>
  <w:num w:numId="10" w16cid:durableId="1944342502">
    <w:abstractNumId w:val="23"/>
  </w:num>
  <w:num w:numId="11" w16cid:durableId="661081158">
    <w:abstractNumId w:val="16"/>
  </w:num>
  <w:num w:numId="12" w16cid:durableId="114446648">
    <w:abstractNumId w:val="16"/>
  </w:num>
  <w:num w:numId="13" w16cid:durableId="1278565158">
    <w:abstractNumId w:val="15"/>
  </w:num>
  <w:num w:numId="14" w16cid:durableId="2128884836">
    <w:abstractNumId w:val="24"/>
  </w:num>
  <w:num w:numId="15" w16cid:durableId="731927627">
    <w:abstractNumId w:val="23"/>
  </w:num>
  <w:num w:numId="16" w16cid:durableId="1397242861">
    <w:abstractNumId w:val="11"/>
  </w:num>
  <w:num w:numId="17" w16cid:durableId="864171584">
    <w:abstractNumId w:val="11"/>
  </w:num>
  <w:num w:numId="18" w16cid:durableId="1516338212">
    <w:abstractNumId w:val="16"/>
  </w:num>
  <w:num w:numId="19" w16cid:durableId="1525166222">
    <w:abstractNumId w:val="31"/>
  </w:num>
  <w:num w:numId="20" w16cid:durableId="1745301700">
    <w:abstractNumId w:val="22"/>
  </w:num>
  <w:num w:numId="21" w16cid:durableId="1201211354">
    <w:abstractNumId w:val="19"/>
  </w:num>
  <w:num w:numId="22" w16cid:durableId="891306390">
    <w:abstractNumId w:val="12"/>
  </w:num>
  <w:num w:numId="23" w16cid:durableId="1775906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4228390">
    <w:abstractNumId w:val="29"/>
  </w:num>
  <w:num w:numId="25" w16cid:durableId="1478567351">
    <w:abstractNumId w:val="17"/>
  </w:num>
  <w:num w:numId="26" w16cid:durableId="396100441">
    <w:abstractNumId w:val="9"/>
  </w:num>
  <w:num w:numId="27" w16cid:durableId="1620140891">
    <w:abstractNumId w:val="7"/>
  </w:num>
  <w:num w:numId="28" w16cid:durableId="1988778032">
    <w:abstractNumId w:val="6"/>
  </w:num>
  <w:num w:numId="29" w16cid:durableId="1050496851">
    <w:abstractNumId w:val="5"/>
  </w:num>
  <w:num w:numId="30" w16cid:durableId="1198157689">
    <w:abstractNumId w:val="4"/>
  </w:num>
  <w:num w:numId="31" w16cid:durableId="738358180">
    <w:abstractNumId w:val="8"/>
  </w:num>
  <w:num w:numId="32" w16cid:durableId="1937057733">
    <w:abstractNumId w:val="3"/>
  </w:num>
  <w:num w:numId="33" w16cid:durableId="551498034">
    <w:abstractNumId w:val="2"/>
  </w:num>
  <w:num w:numId="34" w16cid:durableId="210266773">
    <w:abstractNumId w:val="1"/>
  </w:num>
  <w:num w:numId="35" w16cid:durableId="301615322">
    <w:abstractNumId w:val="0"/>
  </w:num>
  <w:num w:numId="36" w16cid:durableId="846096006">
    <w:abstractNumId w:val="33"/>
  </w:num>
  <w:num w:numId="37" w16cid:durableId="298806275">
    <w:abstractNumId w:val="18"/>
  </w:num>
  <w:num w:numId="38" w16cid:durableId="857503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236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4278360">
    <w:abstractNumId w:val="25"/>
  </w:num>
  <w:num w:numId="41" w16cid:durableId="705956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5928670">
    <w:abstractNumId w:val="28"/>
  </w:num>
  <w:num w:numId="43" w16cid:durableId="1723795141">
    <w:abstractNumId w:val="10"/>
  </w:num>
  <w:num w:numId="44" w16cid:durableId="573975116">
    <w:abstractNumId w:val="26"/>
  </w:num>
  <w:num w:numId="45" w16cid:durableId="380203895">
    <w:abstractNumId w:val="21"/>
  </w:num>
  <w:num w:numId="46" w16cid:durableId="2043549603">
    <w:abstractNumId w:val="32"/>
  </w:num>
  <w:num w:numId="47" w16cid:durableId="2025091603">
    <w:abstractNumId w:val="20"/>
  </w:num>
  <w:num w:numId="48" w16cid:durableId="270402450">
    <w:abstractNumId w:val="30"/>
  </w:num>
  <w:num w:numId="49" w16cid:durableId="148022869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MTQxNTI3MLEwsDRW0lEKTi0uzszPAykwrgUA3XDM1iwAAAA="/>
  </w:docVars>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208"/>
    <w:rsid w:val="00013945"/>
    <w:rsid w:val="000139F0"/>
    <w:rsid w:val="00013A83"/>
    <w:rsid w:val="00014B45"/>
    <w:rsid w:val="00015677"/>
    <w:rsid w:val="00015805"/>
    <w:rsid w:val="00017C49"/>
    <w:rsid w:val="00020C3E"/>
    <w:rsid w:val="00022A15"/>
    <w:rsid w:val="00022ABD"/>
    <w:rsid w:val="0002330B"/>
    <w:rsid w:val="0002422B"/>
    <w:rsid w:val="00024273"/>
    <w:rsid w:val="0002741B"/>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5D96"/>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739"/>
    <w:rsid w:val="00065A18"/>
    <w:rsid w:val="000661A4"/>
    <w:rsid w:val="000663E5"/>
    <w:rsid w:val="00067774"/>
    <w:rsid w:val="00067B60"/>
    <w:rsid w:val="00072988"/>
    <w:rsid w:val="000732DE"/>
    <w:rsid w:val="000739D8"/>
    <w:rsid w:val="00073A71"/>
    <w:rsid w:val="00073E11"/>
    <w:rsid w:val="00073F7D"/>
    <w:rsid w:val="0007401E"/>
    <w:rsid w:val="00074076"/>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37C"/>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4C82"/>
    <w:rsid w:val="000E6E1D"/>
    <w:rsid w:val="000E72B1"/>
    <w:rsid w:val="000E7675"/>
    <w:rsid w:val="000E77B1"/>
    <w:rsid w:val="000E7B7E"/>
    <w:rsid w:val="000F0247"/>
    <w:rsid w:val="000F0492"/>
    <w:rsid w:val="000F0AF9"/>
    <w:rsid w:val="000F1118"/>
    <w:rsid w:val="000F159C"/>
    <w:rsid w:val="000F1967"/>
    <w:rsid w:val="000F22DA"/>
    <w:rsid w:val="000F311D"/>
    <w:rsid w:val="000F4A8A"/>
    <w:rsid w:val="000F572E"/>
    <w:rsid w:val="000F5761"/>
    <w:rsid w:val="00100EB0"/>
    <w:rsid w:val="0010133E"/>
    <w:rsid w:val="0010175A"/>
    <w:rsid w:val="00101B22"/>
    <w:rsid w:val="00101DBE"/>
    <w:rsid w:val="001025E4"/>
    <w:rsid w:val="00102B94"/>
    <w:rsid w:val="00102CE3"/>
    <w:rsid w:val="00103334"/>
    <w:rsid w:val="00104DF2"/>
    <w:rsid w:val="0010585F"/>
    <w:rsid w:val="00106529"/>
    <w:rsid w:val="00110111"/>
    <w:rsid w:val="00110A1C"/>
    <w:rsid w:val="00110A90"/>
    <w:rsid w:val="001119FC"/>
    <w:rsid w:val="00111E76"/>
    <w:rsid w:val="001120DB"/>
    <w:rsid w:val="001129C2"/>
    <w:rsid w:val="00112ECD"/>
    <w:rsid w:val="00114131"/>
    <w:rsid w:val="00115E1D"/>
    <w:rsid w:val="00117341"/>
    <w:rsid w:val="001176E3"/>
    <w:rsid w:val="00117B5B"/>
    <w:rsid w:val="00120756"/>
    <w:rsid w:val="00120E52"/>
    <w:rsid w:val="00121384"/>
    <w:rsid w:val="0012186B"/>
    <w:rsid w:val="00122AE2"/>
    <w:rsid w:val="00124422"/>
    <w:rsid w:val="001244B3"/>
    <w:rsid w:val="00125D48"/>
    <w:rsid w:val="001263D3"/>
    <w:rsid w:val="001310DF"/>
    <w:rsid w:val="0013164F"/>
    <w:rsid w:val="0013165E"/>
    <w:rsid w:val="00132093"/>
    <w:rsid w:val="00132432"/>
    <w:rsid w:val="001324DC"/>
    <w:rsid w:val="00133206"/>
    <w:rsid w:val="00133C92"/>
    <w:rsid w:val="001351C7"/>
    <w:rsid w:val="00140217"/>
    <w:rsid w:val="00140498"/>
    <w:rsid w:val="00140DD1"/>
    <w:rsid w:val="00141FFB"/>
    <w:rsid w:val="001422AC"/>
    <w:rsid w:val="00142497"/>
    <w:rsid w:val="001427D1"/>
    <w:rsid w:val="00142D24"/>
    <w:rsid w:val="00142D9C"/>
    <w:rsid w:val="001436D7"/>
    <w:rsid w:val="0014392D"/>
    <w:rsid w:val="001442F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061E"/>
    <w:rsid w:val="002015A3"/>
    <w:rsid w:val="00202862"/>
    <w:rsid w:val="00205A98"/>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CF2"/>
    <w:rsid w:val="0022032E"/>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3476"/>
    <w:rsid w:val="00264043"/>
    <w:rsid w:val="002641A9"/>
    <w:rsid w:val="0026528E"/>
    <w:rsid w:val="002652BB"/>
    <w:rsid w:val="002661A2"/>
    <w:rsid w:val="002703EC"/>
    <w:rsid w:val="0027064F"/>
    <w:rsid w:val="0027141F"/>
    <w:rsid w:val="00271893"/>
    <w:rsid w:val="002725B2"/>
    <w:rsid w:val="0027312C"/>
    <w:rsid w:val="00274188"/>
    <w:rsid w:val="002741C2"/>
    <w:rsid w:val="002744AA"/>
    <w:rsid w:val="00274CDD"/>
    <w:rsid w:val="00274D12"/>
    <w:rsid w:val="0027578C"/>
    <w:rsid w:val="00276088"/>
    <w:rsid w:val="00277920"/>
    <w:rsid w:val="002802C4"/>
    <w:rsid w:val="00280DC4"/>
    <w:rsid w:val="00281A0B"/>
    <w:rsid w:val="00283742"/>
    <w:rsid w:val="00283996"/>
    <w:rsid w:val="00284288"/>
    <w:rsid w:val="00284325"/>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5ED6"/>
    <w:rsid w:val="002A67AF"/>
    <w:rsid w:val="002A6BDF"/>
    <w:rsid w:val="002A7DBF"/>
    <w:rsid w:val="002B01FA"/>
    <w:rsid w:val="002B041B"/>
    <w:rsid w:val="002B0C7E"/>
    <w:rsid w:val="002B1A3F"/>
    <w:rsid w:val="002B2AE6"/>
    <w:rsid w:val="002B48B8"/>
    <w:rsid w:val="002B4DBE"/>
    <w:rsid w:val="002B5122"/>
    <w:rsid w:val="002B5226"/>
    <w:rsid w:val="002B5B30"/>
    <w:rsid w:val="002B5B9C"/>
    <w:rsid w:val="002B601B"/>
    <w:rsid w:val="002B6A35"/>
    <w:rsid w:val="002C0872"/>
    <w:rsid w:val="002C114D"/>
    <w:rsid w:val="002C4764"/>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481"/>
    <w:rsid w:val="003105AA"/>
    <w:rsid w:val="0031139B"/>
    <w:rsid w:val="0031187D"/>
    <w:rsid w:val="00312BF0"/>
    <w:rsid w:val="003162BD"/>
    <w:rsid w:val="0031630D"/>
    <w:rsid w:val="00316D57"/>
    <w:rsid w:val="00317C2E"/>
    <w:rsid w:val="00320CD3"/>
    <w:rsid w:val="0032154A"/>
    <w:rsid w:val="003222EB"/>
    <w:rsid w:val="00322753"/>
    <w:rsid w:val="003237A6"/>
    <w:rsid w:val="00324C9C"/>
    <w:rsid w:val="0032594D"/>
    <w:rsid w:val="0032664B"/>
    <w:rsid w:val="00326E3A"/>
    <w:rsid w:val="003273B0"/>
    <w:rsid w:val="00327D92"/>
    <w:rsid w:val="0033016E"/>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752"/>
    <w:rsid w:val="00362E9D"/>
    <w:rsid w:val="00362EF2"/>
    <w:rsid w:val="0036491F"/>
    <w:rsid w:val="00364B18"/>
    <w:rsid w:val="0036514C"/>
    <w:rsid w:val="00366212"/>
    <w:rsid w:val="00366411"/>
    <w:rsid w:val="00366420"/>
    <w:rsid w:val="00366CD7"/>
    <w:rsid w:val="0036763F"/>
    <w:rsid w:val="00367861"/>
    <w:rsid w:val="00370F7D"/>
    <w:rsid w:val="00371DFB"/>
    <w:rsid w:val="0037208C"/>
    <w:rsid w:val="003722AB"/>
    <w:rsid w:val="0037316C"/>
    <w:rsid w:val="003740C5"/>
    <w:rsid w:val="003745F2"/>
    <w:rsid w:val="00374DDD"/>
    <w:rsid w:val="00374DF4"/>
    <w:rsid w:val="0037524B"/>
    <w:rsid w:val="00375717"/>
    <w:rsid w:val="003769D4"/>
    <w:rsid w:val="00376A12"/>
    <w:rsid w:val="00376CD8"/>
    <w:rsid w:val="00377185"/>
    <w:rsid w:val="003777A2"/>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29FA"/>
    <w:rsid w:val="003A3067"/>
    <w:rsid w:val="003A4504"/>
    <w:rsid w:val="003A4E0B"/>
    <w:rsid w:val="003A53F8"/>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1CFC"/>
    <w:rsid w:val="003C23A5"/>
    <w:rsid w:val="003C393B"/>
    <w:rsid w:val="003C5107"/>
    <w:rsid w:val="003C6017"/>
    <w:rsid w:val="003C6406"/>
    <w:rsid w:val="003C672F"/>
    <w:rsid w:val="003C6BFF"/>
    <w:rsid w:val="003C7589"/>
    <w:rsid w:val="003C78A1"/>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631"/>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2513"/>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3F6C"/>
    <w:rsid w:val="004941F8"/>
    <w:rsid w:val="00494E4D"/>
    <w:rsid w:val="00494F12"/>
    <w:rsid w:val="0049546B"/>
    <w:rsid w:val="0049571E"/>
    <w:rsid w:val="0049619A"/>
    <w:rsid w:val="00497171"/>
    <w:rsid w:val="0049721E"/>
    <w:rsid w:val="0049731E"/>
    <w:rsid w:val="004975DC"/>
    <w:rsid w:val="004975F3"/>
    <w:rsid w:val="004A03BA"/>
    <w:rsid w:val="004A17B9"/>
    <w:rsid w:val="004A4330"/>
    <w:rsid w:val="004A43CC"/>
    <w:rsid w:val="004A45B8"/>
    <w:rsid w:val="004A4ABE"/>
    <w:rsid w:val="004A5605"/>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C758A"/>
    <w:rsid w:val="004D19FB"/>
    <w:rsid w:val="004D2C8E"/>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2256"/>
    <w:rsid w:val="004F2A8C"/>
    <w:rsid w:val="004F3EF1"/>
    <w:rsid w:val="004F49E5"/>
    <w:rsid w:val="004F5643"/>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1672E"/>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1941"/>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D1B"/>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A7C0F"/>
    <w:rsid w:val="005B0C07"/>
    <w:rsid w:val="005B1FAA"/>
    <w:rsid w:val="005B3366"/>
    <w:rsid w:val="005B3D9E"/>
    <w:rsid w:val="005B3FF6"/>
    <w:rsid w:val="005B40D7"/>
    <w:rsid w:val="005B4BFF"/>
    <w:rsid w:val="005C0894"/>
    <w:rsid w:val="005C0991"/>
    <w:rsid w:val="005C0E0B"/>
    <w:rsid w:val="005C198C"/>
    <w:rsid w:val="005C27FD"/>
    <w:rsid w:val="005C2E78"/>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73"/>
    <w:rsid w:val="005F0FF6"/>
    <w:rsid w:val="005F19D0"/>
    <w:rsid w:val="005F19F6"/>
    <w:rsid w:val="005F3BB1"/>
    <w:rsid w:val="005F3D31"/>
    <w:rsid w:val="005F3DC9"/>
    <w:rsid w:val="005F4234"/>
    <w:rsid w:val="005F7147"/>
    <w:rsid w:val="005F7195"/>
    <w:rsid w:val="005F7C9C"/>
    <w:rsid w:val="00600A55"/>
    <w:rsid w:val="00601083"/>
    <w:rsid w:val="00601E7C"/>
    <w:rsid w:val="00605392"/>
    <w:rsid w:val="00605CE9"/>
    <w:rsid w:val="006066B3"/>
    <w:rsid w:val="006071D4"/>
    <w:rsid w:val="00611E3C"/>
    <w:rsid w:val="00612AD5"/>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185"/>
    <w:rsid w:val="006279C1"/>
    <w:rsid w:val="006301A5"/>
    <w:rsid w:val="00630D7D"/>
    <w:rsid w:val="00631CCE"/>
    <w:rsid w:val="00632050"/>
    <w:rsid w:val="006327D3"/>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7037"/>
    <w:rsid w:val="006503CD"/>
    <w:rsid w:val="00650AF0"/>
    <w:rsid w:val="00651249"/>
    <w:rsid w:val="00651999"/>
    <w:rsid w:val="00652877"/>
    <w:rsid w:val="0065514F"/>
    <w:rsid w:val="0065556D"/>
    <w:rsid w:val="00655791"/>
    <w:rsid w:val="00657D00"/>
    <w:rsid w:val="00661143"/>
    <w:rsid w:val="006618B2"/>
    <w:rsid w:val="00662E3B"/>
    <w:rsid w:val="00663BDA"/>
    <w:rsid w:val="00664840"/>
    <w:rsid w:val="006651DE"/>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8FD"/>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52C2"/>
    <w:rsid w:val="006D6336"/>
    <w:rsid w:val="006D65ED"/>
    <w:rsid w:val="006D67DC"/>
    <w:rsid w:val="006D7545"/>
    <w:rsid w:val="006D7A4C"/>
    <w:rsid w:val="006E0CA3"/>
    <w:rsid w:val="006E1409"/>
    <w:rsid w:val="006E1434"/>
    <w:rsid w:val="006E1A7E"/>
    <w:rsid w:val="006E1A9E"/>
    <w:rsid w:val="006E2140"/>
    <w:rsid w:val="006E26E3"/>
    <w:rsid w:val="006E4102"/>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5A37"/>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6E0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5A4E"/>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3A54"/>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2C79"/>
    <w:rsid w:val="008C3496"/>
    <w:rsid w:val="008C4C44"/>
    <w:rsid w:val="008C5265"/>
    <w:rsid w:val="008C60DB"/>
    <w:rsid w:val="008C6A40"/>
    <w:rsid w:val="008C73DD"/>
    <w:rsid w:val="008C7686"/>
    <w:rsid w:val="008D17BD"/>
    <w:rsid w:val="008D2D16"/>
    <w:rsid w:val="008D2F4A"/>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32D8"/>
    <w:rsid w:val="008F4B64"/>
    <w:rsid w:val="008F508E"/>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0712"/>
    <w:rsid w:val="00951D66"/>
    <w:rsid w:val="00951E6C"/>
    <w:rsid w:val="009520E9"/>
    <w:rsid w:val="00952C3C"/>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473D"/>
    <w:rsid w:val="00965F55"/>
    <w:rsid w:val="00967129"/>
    <w:rsid w:val="009678ED"/>
    <w:rsid w:val="009701CC"/>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B88"/>
    <w:rsid w:val="009B2C70"/>
    <w:rsid w:val="009B3456"/>
    <w:rsid w:val="009B3DBE"/>
    <w:rsid w:val="009B3ECF"/>
    <w:rsid w:val="009B5424"/>
    <w:rsid w:val="009B61DA"/>
    <w:rsid w:val="009B6C02"/>
    <w:rsid w:val="009B705F"/>
    <w:rsid w:val="009B7842"/>
    <w:rsid w:val="009C05EE"/>
    <w:rsid w:val="009C0AFB"/>
    <w:rsid w:val="009C0F66"/>
    <w:rsid w:val="009C2E3B"/>
    <w:rsid w:val="009C34C7"/>
    <w:rsid w:val="009C488F"/>
    <w:rsid w:val="009C4ADE"/>
    <w:rsid w:val="009C56B5"/>
    <w:rsid w:val="009C64B6"/>
    <w:rsid w:val="009C7D8F"/>
    <w:rsid w:val="009D0CF3"/>
    <w:rsid w:val="009D113C"/>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0764"/>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93B"/>
    <w:rsid w:val="00A11C57"/>
    <w:rsid w:val="00A12AF3"/>
    <w:rsid w:val="00A12EE3"/>
    <w:rsid w:val="00A1461F"/>
    <w:rsid w:val="00A1492C"/>
    <w:rsid w:val="00A15F3B"/>
    <w:rsid w:val="00A165B6"/>
    <w:rsid w:val="00A17BE0"/>
    <w:rsid w:val="00A17C52"/>
    <w:rsid w:val="00A2017C"/>
    <w:rsid w:val="00A20B5C"/>
    <w:rsid w:val="00A214CE"/>
    <w:rsid w:val="00A22007"/>
    <w:rsid w:val="00A221B9"/>
    <w:rsid w:val="00A22C62"/>
    <w:rsid w:val="00A22C7F"/>
    <w:rsid w:val="00A2334B"/>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0A92"/>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E7D31"/>
    <w:rsid w:val="00AF13E8"/>
    <w:rsid w:val="00AF23A1"/>
    <w:rsid w:val="00AF2EA4"/>
    <w:rsid w:val="00AF40DC"/>
    <w:rsid w:val="00AF5C18"/>
    <w:rsid w:val="00AF7718"/>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3CBB"/>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196F"/>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2D3E"/>
    <w:rsid w:val="00BC407D"/>
    <w:rsid w:val="00BC47B4"/>
    <w:rsid w:val="00BC4C76"/>
    <w:rsid w:val="00BC530B"/>
    <w:rsid w:val="00BC534A"/>
    <w:rsid w:val="00BC6102"/>
    <w:rsid w:val="00BC6541"/>
    <w:rsid w:val="00BC669C"/>
    <w:rsid w:val="00BC7173"/>
    <w:rsid w:val="00BC7287"/>
    <w:rsid w:val="00BD1E43"/>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6E9"/>
    <w:rsid w:val="00C07DE0"/>
    <w:rsid w:val="00C13558"/>
    <w:rsid w:val="00C138C8"/>
    <w:rsid w:val="00C142DB"/>
    <w:rsid w:val="00C1438B"/>
    <w:rsid w:val="00C14D28"/>
    <w:rsid w:val="00C14DA6"/>
    <w:rsid w:val="00C17868"/>
    <w:rsid w:val="00C1794D"/>
    <w:rsid w:val="00C17C61"/>
    <w:rsid w:val="00C17DC3"/>
    <w:rsid w:val="00C202A1"/>
    <w:rsid w:val="00C20A04"/>
    <w:rsid w:val="00C21043"/>
    <w:rsid w:val="00C22B89"/>
    <w:rsid w:val="00C244D2"/>
    <w:rsid w:val="00C2470E"/>
    <w:rsid w:val="00C2529B"/>
    <w:rsid w:val="00C258E7"/>
    <w:rsid w:val="00C25E9E"/>
    <w:rsid w:val="00C26E3B"/>
    <w:rsid w:val="00C26F65"/>
    <w:rsid w:val="00C2705A"/>
    <w:rsid w:val="00C30954"/>
    <w:rsid w:val="00C30E0C"/>
    <w:rsid w:val="00C313AD"/>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5E5F"/>
    <w:rsid w:val="00C46611"/>
    <w:rsid w:val="00C5345A"/>
    <w:rsid w:val="00C53EE8"/>
    <w:rsid w:val="00C547B1"/>
    <w:rsid w:val="00C554E2"/>
    <w:rsid w:val="00C56531"/>
    <w:rsid w:val="00C56758"/>
    <w:rsid w:val="00C567F3"/>
    <w:rsid w:val="00C60EF9"/>
    <w:rsid w:val="00C60FA3"/>
    <w:rsid w:val="00C6152A"/>
    <w:rsid w:val="00C6256F"/>
    <w:rsid w:val="00C626D0"/>
    <w:rsid w:val="00C62969"/>
    <w:rsid w:val="00C62EEB"/>
    <w:rsid w:val="00C630AE"/>
    <w:rsid w:val="00C64216"/>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96450"/>
    <w:rsid w:val="00CA341B"/>
    <w:rsid w:val="00CA35A4"/>
    <w:rsid w:val="00CA38BA"/>
    <w:rsid w:val="00CA3EE3"/>
    <w:rsid w:val="00CA3FB6"/>
    <w:rsid w:val="00CA7CF3"/>
    <w:rsid w:val="00CB0C6E"/>
    <w:rsid w:val="00CB1B76"/>
    <w:rsid w:val="00CB268F"/>
    <w:rsid w:val="00CB27E8"/>
    <w:rsid w:val="00CB2E78"/>
    <w:rsid w:val="00CB48ED"/>
    <w:rsid w:val="00CB4EF3"/>
    <w:rsid w:val="00CB524C"/>
    <w:rsid w:val="00CB5E04"/>
    <w:rsid w:val="00CB5F68"/>
    <w:rsid w:val="00CB6288"/>
    <w:rsid w:val="00CB6E76"/>
    <w:rsid w:val="00CB768D"/>
    <w:rsid w:val="00CB7A76"/>
    <w:rsid w:val="00CB7CA6"/>
    <w:rsid w:val="00CB7E55"/>
    <w:rsid w:val="00CC0469"/>
    <w:rsid w:val="00CC0D7A"/>
    <w:rsid w:val="00CC1643"/>
    <w:rsid w:val="00CC1EED"/>
    <w:rsid w:val="00CC23E7"/>
    <w:rsid w:val="00CC360F"/>
    <w:rsid w:val="00CC36C9"/>
    <w:rsid w:val="00CC4E93"/>
    <w:rsid w:val="00CC6BA6"/>
    <w:rsid w:val="00CC6C93"/>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4D33"/>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4AEF"/>
    <w:rsid w:val="00D36BC6"/>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0DC9"/>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3F6"/>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313"/>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9EB"/>
    <w:rsid w:val="00EC6E9C"/>
    <w:rsid w:val="00ED0833"/>
    <w:rsid w:val="00ED0D06"/>
    <w:rsid w:val="00ED0E22"/>
    <w:rsid w:val="00ED3111"/>
    <w:rsid w:val="00ED5FCC"/>
    <w:rsid w:val="00EE0A0D"/>
    <w:rsid w:val="00EE12B2"/>
    <w:rsid w:val="00EE1FE3"/>
    <w:rsid w:val="00EE22B6"/>
    <w:rsid w:val="00EE35C5"/>
    <w:rsid w:val="00EE38FD"/>
    <w:rsid w:val="00EE5053"/>
    <w:rsid w:val="00EE51A0"/>
    <w:rsid w:val="00EE675B"/>
    <w:rsid w:val="00EE6C1A"/>
    <w:rsid w:val="00EE748D"/>
    <w:rsid w:val="00EF248A"/>
    <w:rsid w:val="00EF3D36"/>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87DF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ADF"/>
    <w:rsid w:val="00FB2EDC"/>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4E8"/>
    <w:rsid w:val="00FF7B96"/>
    <w:rsid w:val="0A776120"/>
    <w:rsid w:val="0AE5701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D273F971-5B18-45D1-85FE-77769B66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locked/>
    <w:rsid w:val="00C45376"/>
    <w:rPr>
      <w:sz w:val="16"/>
      <w:szCs w:val="16"/>
    </w:rPr>
  </w:style>
  <w:style w:type="paragraph" w:styleId="CommentText">
    <w:name w:val="annotation text"/>
    <w:basedOn w:val="Normal"/>
    <w:link w:val="CommentTextChar"/>
    <w:locked/>
    <w:rsid w:val="00C45376"/>
    <w:rPr>
      <w:rFonts w:asciiTheme="minorHAnsi" w:hAnsiTheme="minorHAnsi"/>
      <w:szCs w:val="20"/>
    </w:rPr>
  </w:style>
  <w:style w:type="character" w:customStyle="1" w:styleId="CommentTextChar">
    <w:name w:val="Comment Text Char"/>
    <w:basedOn w:val="DefaultParagraphFont"/>
    <w:link w:val="CommentText"/>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37"/>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Normal"/>
    <w:uiPriority w:val="15"/>
    <w:qFormat/>
    <w:rsid w:val="00F67555"/>
    <w:pPr>
      <w:pBdr>
        <w:top w:val="single" w:sz="36" w:space="1" w:color="FFF200" w:themeColor="accent6"/>
      </w:pBdr>
      <w:ind w:right="8497"/>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 w:type="character" w:styleId="UnresolvedMention">
    <w:name w:val="Unresolved Mention"/>
    <w:basedOn w:val="DefaultParagraphFont"/>
    <w:uiPriority w:val="99"/>
    <w:semiHidden/>
    <w:unhideWhenUsed/>
    <w:locked/>
    <w:rsid w:val="00D34AEF"/>
    <w:rPr>
      <w:color w:val="605E5C"/>
      <w:shd w:val="clear" w:color="auto" w:fill="E1DFDD"/>
    </w:rPr>
  </w:style>
  <w:style w:type="paragraph" w:customStyle="1" w:styleId="Default">
    <w:name w:val="Default"/>
    <w:rsid w:val="00FB2ADF"/>
    <w:pPr>
      <w:autoSpaceDE w:val="0"/>
      <w:autoSpaceDN w:val="0"/>
      <w:adjustRightInd w:val="0"/>
    </w:pPr>
    <w:rPr>
      <w:rFonts w:ascii="Tahoma" w:eastAsia="Times New Roman" w:hAnsi="Tahoma" w:cs="Tahoma"/>
      <w:color w:val="000000"/>
      <w:sz w:val="24"/>
      <w:szCs w:val="24"/>
      <w:lang w:val="en-GB" w:eastAsia="en-GB"/>
    </w:rPr>
  </w:style>
  <w:style w:type="character" w:styleId="HTMLAcronym">
    <w:name w:val="HTML Acronym"/>
    <w:basedOn w:val="DefaultParagraphFont"/>
    <w:locked/>
    <w:rsid w:val="00FB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b.ie/funding/funding-schemes/before-you-apply/all-grant-policies/payment-of-social-benefi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080860"/>
    <w:rsid w:val="000C57F0"/>
    <w:rsid w:val="000F37EC"/>
    <w:rsid w:val="0014744D"/>
    <w:rsid w:val="00152459"/>
    <w:rsid w:val="00172025"/>
    <w:rsid w:val="001916A8"/>
    <w:rsid w:val="001A3BFF"/>
    <w:rsid w:val="001E0E70"/>
    <w:rsid w:val="001F79C9"/>
    <w:rsid w:val="00230698"/>
    <w:rsid w:val="00323F04"/>
    <w:rsid w:val="00336248"/>
    <w:rsid w:val="0036614E"/>
    <w:rsid w:val="003A0C00"/>
    <w:rsid w:val="003B2D48"/>
    <w:rsid w:val="004D2C8E"/>
    <w:rsid w:val="00516C61"/>
    <w:rsid w:val="00571702"/>
    <w:rsid w:val="00582547"/>
    <w:rsid w:val="00610BB8"/>
    <w:rsid w:val="00633FDB"/>
    <w:rsid w:val="006739EF"/>
    <w:rsid w:val="006A3AC1"/>
    <w:rsid w:val="006E273E"/>
    <w:rsid w:val="00712C52"/>
    <w:rsid w:val="0072061D"/>
    <w:rsid w:val="00773B0A"/>
    <w:rsid w:val="007758F0"/>
    <w:rsid w:val="00847B89"/>
    <w:rsid w:val="008A1FB5"/>
    <w:rsid w:val="008C50E5"/>
    <w:rsid w:val="00946177"/>
    <w:rsid w:val="009C4D80"/>
    <w:rsid w:val="009E2E2D"/>
    <w:rsid w:val="00A47A62"/>
    <w:rsid w:val="00A77230"/>
    <w:rsid w:val="00AC7C40"/>
    <w:rsid w:val="00B957B4"/>
    <w:rsid w:val="00C708A2"/>
    <w:rsid w:val="00CD215B"/>
    <w:rsid w:val="00CF0568"/>
    <w:rsid w:val="00D65FB9"/>
    <w:rsid w:val="00DB7039"/>
    <w:rsid w:val="00E11F6A"/>
    <w:rsid w:val="00E32E13"/>
    <w:rsid w:val="00E506BB"/>
    <w:rsid w:val="00E56381"/>
    <w:rsid w:val="00F867D1"/>
    <w:rsid w:val="00FD4360"/>
    <w:rsid w:val="00FF1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ec2fd3-6f58-46ab-a96e-e85cbcf7f322">
      <UserInfo>
        <DisplayName>Caitriona Creely</DisplayName>
        <AccountId>29</AccountId>
        <AccountType/>
      </UserInfo>
      <UserInfo>
        <DisplayName>Annalisa Montesanti</DisplayName>
        <AccountId>23</AccountId>
        <AccountType/>
      </UserInfo>
      <UserInfo>
        <DisplayName>Anne Cody</DisplayName>
        <AccountId>30</AccountId>
        <AccountType/>
      </UserInfo>
      <UserInfo>
        <DisplayName>Oonagh Ward</DisplayName>
        <AccountId>103</AccountId>
        <AccountType/>
      </UserInfo>
      <UserInfo>
        <DisplayName>Teresa Maguire</DisplayName>
        <AccountId>31</AccountId>
        <AccountType/>
      </UserInfo>
    </SharedWithUsers>
    <lcf76f155ced4ddcb4097134ff3c332f xmlns="fc8f5da5-ee3b-4523-b1d4-6d770b1d8e9c">
      <Terms xmlns="http://schemas.microsoft.com/office/infopath/2007/PartnerControls"/>
    </lcf76f155ced4ddcb4097134ff3c332f>
    <TaxCatchAll xmlns="1dec2fd3-6f58-46ab-a96e-e85cbcf7f322" xsi:nil="true"/>
    <Time xmlns="fc8f5da5-ee3b-4523-b1d4-6d770b1d8e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2A4B-24AE-460D-99F9-8ABD41C25E2D}">
  <ds:schemaRefs>
    <ds:schemaRef ds:uri="http://schemas.microsoft.com/sharepoint/v3/contenttype/forms"/>
  </ds:schemaRefs>
</ds:datastoreItem>
</file>

<file path=customXml/itemProps2.xml><?xml version="1.0" encoding="utf-8"?>
<ds:datastoreItem xmlns:ds="http://schemas.openxmlformats.org/officeDocument/2006/customXml" ds:itemID="{D36EF897-A9C0-4D52-AD81-79D1CD5D541E}">
  <ds:schemaRefs>
    <ds:schemaRef ds:uri="http://schemas.microsoft.com/office/2006/metadata/properties"/>
    <ds:schemaRef ds:uri="http://schemas.microsoft.com/office/infopath/2007/PartnerControls"/>
    <ds:schemaRef ds:uri="7b41fe4f-18ce-4705-8a0b-9750bce1dd0b"/>
  </ds:schemaRefs>
</ds:datastoreItem>
</file>

<file path=customXml/itemProps3.xml><?xml version="1.0" encoding="utf-8"?>
<ds:datastoreItem xmlns:ds="http://schemas.openxmlformats.org/officeDocument/2006/customXml" ds:itemID="{D9300EF3-7DE8-47FF-81C4-8F50969816FB}"/>
</file>

<file path=customXml/itemProps4.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19</TotalTime>
  <Pages>6</Pages>
  <Words>1444</Words>
  <Characters>8236</Characters>
  <Application>Microsoft Office Word</Application>
  <DocSecurity>0</DocSecurity>
  <Lines>68</Lines>
  <Paragraphs>19</Paragraphs>
  <ScaleCrop>false</ScaleCrop>
  <Company>Microsoft</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of Social Benefits</dc:title>
  <dc:subject/>
  <dc:creator>ValerieHaslam</dc:creator>
  <cp:keywords/>
  <cp:lastModifiedBy>Caitriona Creely</cp:lastModifiedBy>
  <cp:revision>16</cp:revision>
  <cp:lastPrinted>2018-11-15T01:03:00Z</cp:lastPrinted>
  <dcterms:created xsi:type="dcterms:W3CDTF">2024-03-20T10:10:00Z</dcterms:created>
  <dcterms:modified xsi:type="dcterms:W3CDTF">2024-03-22T11:17:00Z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0x010100E2B98BD89E6233408C4D66840FF337F1</vt:lpwstr>
  </property>
  <property fmtid="{D5CDD505-2E9C-101B-9397-08002B2CF9AE}" pid="3" name="Order">
    <vt:r8>27600</vt:r8>
  </property>
</Properties>
</file>