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4BDA5" w14:textId="43609D30" w:rsidR="006A454A" w:rsidRPr="00912B82" w:rsidRDefault="00745F97" w:rsidP="00D60649">
      <w:pPr>
        <w:pStyle w:val="Heading1"/>
        <w:jc w:val="both"/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Briefing for observers </w:t>
      </w:r>
      <w:r w:rsidR="00576A55">
        <w:rPr>
          <w:lang w:val="en-GB"/>
        </w:rPr>
        <w:t>at HRB panel meetings</w:t>
      </w:r>
      <w:r w:rsidR="00305D3F">
        <w:rPr>
          <w:lang w:val="en-GB"/>
        </w:rPr>
        <w:t xml:space="preserve"> (pilot phase)</w:t>
      </w:r>
    </w:p>
    <w:p w14:paraId="3F8C702E" w14:textId="77777777" w:rsidR="00576A55" w:rsidRDefault="00576A55" w:rsidP="00D60649">
      <w:pPr>
        <w:pStyle w:val="Heading2"/>
        <w:jc w:val="both"/>
        <w:rPr>
          <w:lang w:val="en-GB"/>
        </w:rPr>
      </w:pPr>
    </w:p>
    <w:p w14:paraId="09B87DB0" w14:textId="77777777" w:rsidR="00576A55" w:rsidRDefault="00576A55" w:rsidP="00D60649">
      <w:pPr>
        <w:pStyle w:val="Heading2"/>
        <w:jc w:val="both"/>
        <w:rPr>
          <w:lang w:val="en-GB"/>
        </w:rPr>
      </w:pPr>
      <w:r>
        <w:rPr>
          <w:lang w:val="en-GB"/>
        </w:rPr>
        <w:t>Background</w:t>
      </w:r>
    </w:p>
    <w:p w14:paraId="05BA8EC6" w14:textId="584DBDF8" w:rsidR="002C6B66" w:rsidRDefault="00D90459" w:rsidP="00D60649">
      <w:pPr>
        <w:jc w:val="both"/>
        <w:rPr>
          <w:lang w:val="en-GB"/>
        </w:rPr>
      </w:pPr>
      <w:r>
        <w:rPr>
          <w:lang w:val="en-GB"/>
        </w:rPr>
        <w:t xml:space="preserve">International peer review is the cornerstone of the HRB’s decision making </w:t>
      </w:r>
      <w:r w:rsidR="000C248D">
        <w:rPr>
          <w:lang w:val="en-GB"/>
        </w:rPr>
        <w:t xml:space="preserve">process </w:t>
      </w:r>
      <w:r>
        <w:rPr>
          <w:lang w:val="en-GB"/>
        </w:rPr>
        <w:t xml:space="preserve">for </w:t>
      </w:r>
      <w:r w:rsidR="000C248D">
        <w:rPr>
          <w:lang w:val="en-GB"/>
        </w:rPr>
        <w:t xml:space="preserve">selection of applications for </w:t>
      </w:r>
      <w:r w:rsidR="00267C1F">
        <w:rPr>
          <w:lang w:val="en-GB"/>
        </w:rPr>
        <w:t>grant</w:t>
      </w:r>
      <w:r>
        <w:rPr>
          <w:lang w:val="en-GB"/>
        </w:rPr>
        <w:t xml:space="preserve"> funding. Given the size of the country and the high degree of actual and perceived conflicts of interest, the HRB has long</w:t>
      </w:r>
      <w:r w:rsidR="000C248D">
        <w:rPr>
          <w:lang w:val="en-GB"/>
        </w:rPr>
        <w:t>-</w:t>
      </w:r>
      <w:r w:rsidR="00A069CB">
        <w:rPr>
          <w:lang w:val="en-GB"/>
        </w:rPr>
        <w:t>used</w:t>
      </w:r>
      <w:r>
        <w:rPr>
          <w:lang w:val="en-GB"/>
        </w:rPr>
        <w:t xml:space="preserve"> international panel members</w:t>
      </w:r>
      <w:r w:rsidR="00FE596B">
        <w:rPr>
          <w:lang w:val="en-GB"/>
        </w:rPr>
        <w:t xml:space="preserve">. </w:t>
      </w:r>
    </w:p>
    <w:p w14:paraId="6104007E" w14:textId="397DB88C" w:rsidR="00745F97" w:rsidRDefault="00576A55" w:rsidP="00D60649">
      <w:pPr>
        <w:jc w:val="both"/>
        <w:rPr>
          <w:lang w:val="en-GB"/>
        </w:rPr>
      </w:pPr>
      <w:r>
        <w:rPr>
          <w:lang w:val="en-GB"/>
        </w:rPr>
        <w:t xml:space="preserve">In a </w:t>
      </w:r>
      <w:r w:rsidR="00D60649">
        <w:rPr>
          <w:lang w:val="en-GB"/>
        </w:rPr>
        <w:t xml:space="preserve">recent </w:t>
      </w:r>
      <w:r>
        <w:rPr>
          <w:lang w:val="en-GB"/>
        </w:rPr>
        <w:t>survey 300 out of 312</w:t>
      </w:r>
      <w:r w:rsidR="00745F97">
        <w:rPr>
          <w:lang w:val="en-GB"/>
        </w:rPr>
        <w:t xml:space="preserve"> respondents</w:t>
      </w:r>
      <w:r>
        <w:rPr>
          <w:lang w:val="en-GB"/>
        </w:rPr>
        <w:t xml:space="preserve"> w</w:t>
      </w:r>
      <w:r w:rsidR="00745F97">
        <w:rPr>
          <w:lang w:val="en-GB"/>
        </w:rPr>
        <w:t>ere</w:t>
      </w:r>
      <w:r>
        <w:rPr>
          <w:lang w:val="en-GB"/>
        </w:rPr>
        <w:t xml:space="preserve"> </w:t>
      </w:r>
      <w:r w:rsidR="000C248D">
        <w:rPr>
          <w:lang w:val="en-GB"/>
        </w:rPr>
        <w:t>in favour of</w:t>
      </w:r>
      <w:r>
        <w:rPr>
          <w:lang w:val="en-GB"/>
        </w:rPr>
        <w:t xml:space="preserve"> allowing observers to HRB </w:t>
      </w:r>
      <w:r w:rsidR="000C248D">
        <w:rPr>
          <w:lang w:val="en-GB"/>
        </w:rPr>
        <w:t xml:space="preserve">review </w:t>
      </w:r>
      <w:r>
        <w:rPr>
          <w:lang w:val="en-GB"/>
        </w:rPr>
        <w:t xml:space="preserve">panels, and as a result we are introducing this </w:t>
      </w:r>
      <w:r w:rsidR="00305D3F">
        <w:rPr>
          <w:lang w:val="en-GB"/>
        </w:rPr>
        <w:t>pilot</w:t>
      </w:r>
      <w:r w:rsidR="000C248D">
        <w:rPr>
          <w:lang w:val="en-GB"/>
        </w:rPr>
        <w:t xml:space="preserve"> initiative</w:t>
      </w:r>
      <w:r>
        <w:rPr>
          <w:lang w:val="en-GB"/>
        </w:rPr>
        <w:t xml:space="preserve">. </w:t>
      </w:r>
      <w:r w:rsidR="00427D49">
        <w:rPr>
          <w:lang w:val="en-GB"/>
        </w:rPr>
        <w:t>T</w:t>
      </w:r>
      <w:r>
        <w:rPr>
          <w:lang w:val="en-GB"/>
        </w:rPr>
        <w:t>he HRB must balance the wish to be open and transparent with considerations</w:t>
      </w:r>
      <w:r w:rsidR="00427D49">
        <w:rPr>
          <w:lang w:val="en-GB"/>
        </w:rPr>
        <w:t xml:space="preserve"> such as</w:t>
      </w:r>
      <w:r>
        <w:rPr>
          <w:lang w:val="en-GB"/>
        </w:rPr>
        <w:t xml:space="preserve"> the integrity of </w:t>
      </w:r>
      <w:r w:rsidR="00BD0A9A">
        <w:rPr>
          <w:lang w:val="en-GB"/>
        </w:rPr>
        <w:t>our selection</w:t>
      </w:r>
      <w:r>
        <w:rPr>
          <w:lang w:val="en-GB"/>
        </w:rPr>
        <w:t xml:space="preserve"> process, confidentiality of applications and the wellbeing of interviewees. </w:t>
      </w:r>
    </w:p>
    <w:p w14:paraId="6C66E92A" w14:textId="0AC54E47" w:rsidR="00305D3F" w:rsidRPr="00BD0A9A" w:rsidRDefault="00305D3F" w:rsidP="00305D3F">
      <w:pPr>
        <w:jc w:val="both"/>
        <w:rPr>
          <w:lang w:val="en-GB"/>
        </w:rPr>
      </w:pPr>
      <w:bookmarkStart w:id="1" w:name="_Hlk12352015"/>
      <w:r w:rsidRPr="00301897">
        <w:rPr>
          <w:b/>
          <w:lang w:val="en-GB"/>
        </w:rPr>
        <w:t>Our motivation</w:t>
      </w:r>
      <w:r>
        <w:rPr>
          <w:lang w:val="en-GB"/>
        </w:rPr>
        <w:t xml:space="preserve"> for allowing observers is to better inform the </w:t>
      </w:r>
      <w:r w:rsidR="000C248D">
        <w:rPr>
          <w:lang w:val="en-GB"/>
        </w:rPr>
        <w:t xml:space="preserve">research </w:t>
      </w:r>
      <w:r>
        <w:rPr>
          <w:lang w:val="en-GB"/>
        </w:rPr>
        <w:t xml:space="preserve">community about our processes. It is not to provide feedback on the applications discussed. </w:t>
      </w:r>
    </w:p>
    <w:p w14:paraId="7193D54F" w14:textId="2998F19E" w:rsidR="00576A55" w:rsidRDefault="00576A55" w:rsidP="00D60649">
      <w:pPr>
        <w:jc w:val="both"/>
        <w:rPr>
          <w:lang w:val="en-GB"/>
        </w:rPr>
      </w:pPr>
      <w:r>
        <w:rPr>
          <w:lang w:val="en-GB"/>
        </w:rPr>
        <w:t xml:space="preserve">We will review </w:t>
      </w:r>
      <w:r w:rsidR="00305D3F">
        <w:rPr>
          <w:lang w:val="en-GB"/>
        </w:rPr>
        <w:t xml:space="preserve">after 12 months </w:t>
      </w:r>
      <w:r>
        <w:rPr>
          <w:lang w:val="en-GB"/>
        </w:rPr>
        <w:t xml:space="preserve">if this is a positive </w:t>
      </w:r>
      <w:r w:rsidR="00BD0A9A">
        <w:rPr>
          <w:lang w:val="en-GB"/>
        </w:rPr>
        <w:t>development</w:t>
      </w:r>
      <w:r w:rsidR="000C248D">
        <w:rPr>
          <w:lang w:val="en-GB"/>
        </w:rPr>
        <w:t xml:space="preserve"> and whether it is providing value to the research community</w:t>
      </w:r>
      <w:r w:rsidR="00BD0A9A">
        <w:rPr>
          <w:lang w:val="en-GB"/>
        </w:rPr>
        <w:t xml:space="preserve">. </w:t>
      </w:r>
      <w:r w:rsidR="0071148C">
        <w:rPr>
          <w:lang w:val="en-GB"/>
        </w:rPr>
        <w:t xml:space="preserve">We would like to hear your opinion about it after you have observed a panel. </w:t>
      </w:r>
      <w:r w:rsidR="00745F97" w:rsidRPr="00BD0A9A">
        <w:rPr>
          <w:lang w:val="en-GB"/>
        </w:rPr>
        <w:t>Being an observer is an opportunity, not a right</w:t>
      </w:r>
      <w:r w:rsidR="00745F97">
        <w:rPr>
          <w:lang w:val="en-GB"/>
        </w:rPr>
        <w:t xml:space="preserve">. </w:t>
      </w:r>
      <w:r w:rsidR="00BD0A9A" w:rsidRPr="000577AC">
        <w:rPr>
          <w:b/>
          <w:lang w:val="en-GB"/>
        </w:rPr>
        <w:t>Your behaviour before, during and after the panel meeting will feed into the decision to maintain this opportunity for others or not</w:t>
      </w:r>
      <w:r w:rsidR="00BD0A9A">
        <w:rPr>
          <w:lang w:val="en-GB"/>
        </w:rPr>
        <w:t xml:space="preserve">. </w:t>
      </w:r>
    </w:p>
    <w:bookmarkEnd w:id="1"/>
    <w:p w14:paraId="5FD0A4B7" w14:textId="77777777" w:rsidR="005E1507" w:rsidRDefault="005E1507" w:rsidP="00D60649">
      <w:pPr>
        <w:jc w:val="both"/>
        <w:rPr>
          <w:lang w:val="en-GB"/>
        </w:rPr>
      </w:pPr>
    </w:p>
    <w:p w14:paraId="624BE316" w14:textId="77777777" w:rsidR="00623821" w:rsidRDefault="00623821" w:rsidP="00D60649">
      <w:pPr>
        <w:pStyle w:val="Heading2"/>
        <w:jc w:val="both"/>
        <w:rPr>
          <w:lang w:val="en-GB"/>
        </w:rPr>
      </w:pPr>
      <w:r>
        <w:rPr>
          <w:lang w:val="en-GB"/>
        </w:rPr>
        <w:t>Which panels will have observers?</w:t>
      </w:r>
    </w:p>
    <w:p w14:paraId="14539E55" w14:textId="529C8582" w:rsidR="002816AC" w:rsidRDefault="00623821" w:rsidP="00D60649">
      <w:pPr>
        <w:jc w:val="both"/>
        <w:rPr>
          <w:lang w:val="en-GB"/>
        </w:rPr>
      </w:pPr>
      <w:bookmarkStart w:id="2" w:name="_Hlk12352161"/>
      <w:r>
        <w:rPr>
          <w:lang w:val="en-GB"/>
        </w:rPr>
        <w:t xml:space="preserve">We will invite observers at our regular </w:t>
      </w:r>
      <w:r w:rsidR="0071148C">
        <w:rPr>
          <w:lang w:val="en-GB"/>
        </w:rPr>
        <w:t xml:space="preserve">selection </w:t>
      </w:r>
      <w:r>
        <w:rPr>
          <w:lang w:val="en-GB"/>
        </w:rPr>
        <w:t>panel meetings where applications are discussed for selection</w:t>
      </w:r>
      <w:r w:rsidR="007B56F7">
        <w:rPr>
          <w:lang w:val="en-GB"/>
        </w:rPr>
        <w:t xml:space="preserve"> and ranking</w:t>
      </w:r>
      <w:r>
        <w:rPr>
          <w:lang w:val="en-GB"/>
        </w:rPr>
        <w:t xml:space="preserve"> for funding. In some scheme</w:t>
      </w:r>
      <w:r w:rsidR="00683C09">
        <w:rPr>
          <w:lang w:val="en-GB"/>
        </w:rPr>
        <w:t>s</w:t>
      </w:r>
      <w:r>
        <w:rPr>
          <w:lang w:val="en-GB"/>
        </w:rPr>
        <w:t xml:space="preserve"> a </w:t>
      </w:r>
      <w:proofErr w:type="gramStart"/>
      <w:r>
        <w:rPr>
          <w:lang w:val="en-GB"/>
        </w:rPr>
        <w:t>panel shortlists pre-applications</w:t>
      </w:r>
      <w:proofErr w:type="gramEnd"/>
      <w:r>
        <w:rPr>
          <w:lang w:val="en-GB"/>
        </w:rPr>
        <w:t xml:space="preserve">, and these meetings </w:t>
      </w:r>
      <w:r w:rsidR="007B56F7">
        <w:rPr>
          <w:lang w:val="en-GB"/>
        </w:rPr>
        <w:t xml:space="preserve">may </w:t>
      </w:r>
      <w:r w:rsidR="00427D49">
        <w:rPr>
          <w:lang w:val="en-GB"/>
        </w:rPr>
        <w:t xml:space="preserve">also </w:t>
      </w:r>
      <w:r>
        <w:rPr>
          <w:lang w:val="en-GB"/>
        </w:rPr>
        <w:t xml:space="preserve">be open to observers. </w:t>
      </w:r>
    </w:p>
    <w:p w14:paraId="66EDE676" w14:textId="51E7140C" w:rsidR="00623821" w:rsidRPr="00623821" w:rsidRDefault="002816AC" w:rsidP="00D60649">
      <w:pPr>
        <w:jc w:val="both"/>
        <w:rPr>
          <w:lang w:val="en-GB"/>
        </w:rPr>
      </w:pPr>
      <w:r w:rsidRPr="00623821">
        <w:rPr>
          <w:lang w:val="en-GB"/>
        </w:rPr>
        <w:t>We are not allowing observers at interview-based panels at this point</w:t>
      </w:r>
      <w:r w:rsidR="00427D49">
        <w:rPr>
          <w:lang w:val="en-GB"/>
        </w:rPr>
        <w:t xml:space="preserve"> </w:t>
      </w:r>
      <w:r w:rsidRPr="00623821">
        <w:rPr>
          <w:lang w:val="en-GB"/>
        </w:rPr>
        <w:t>– interview situations are inherently stressful, and we do not want to add to this.</w:t>
      </w:r>
      <w:r w:rsidRPr="002816AC">
        <w:rPr>
          <w:lang w:val="en-GB"/>
        </w:rPr>
        <w:t xml:space="preserve"> </w:t>
      </w:r>
      <w:r w:rsidRPr="00623821">
        <w:rPr>
          <w:lang w:val="en-GB"/>
        </w:rPr>
        <w:t xml:space="preserve">There may be </w:t>
      </w:r>
      <w:r>
        <w:rPr>
          <w:lang w:val="en-GB"/>
        </w:rPr>
        <w:t xml:space="preserve">other </w:t>
      </w:r>
      <w:r w:rsidRPr="00623821">
        <w:rPr>
          <w:lang w:val="en-GB"/>
        </w:rPr>
        <w:t xml:space="preserve">circumstances where it is not practical or not prudent to have observers present, and offering spaces is at the </w:t>
      </w:r>
      <w:r w:rsidR="000F45AC">
        <w:rPr>
          <w:lang w:val="en-GB"/>
        </w:rPr>
        <w:t>discretion</w:t>
      </w:r>
      <w:r w:rsidR="000F45AC" w:rsidRPr="00623821">
        <w:rPr>
          <w:lang w:val="en-GB"/>
        </w:rPr>
        <w:t xml:space="preserve"> </w:t>
      </w:r>
      <w:r w:rsidRPr="00623821">
        <w:rPr>
          <w:lang w:val="en-GB"/>
        </w:rPr>
        <w:t>of the HRB.</w:t>
      </w:r>
      <w:r w:rsidR="00D60649">
        <w:rPr>
          <w:lang w:val="en-GB"/>
        </w:rPr>
        <w:t xml:space="preserve"> We expect to have around </w:t>
      </w:r>
      <w:r w:rsidR="0040748F">
        <w:rPr>
          <w:lang w:val="en-GB"/>
        </w:rPr>
        <w:t>four</w:t>
      </w:r>
      <w:r w:rsidR="00D60649">
        <w:rPr>
          <w:lang w:val="en-GB"/>
        </w:rPr>
        <w:t xml:space="preserve"> suitable panel meetings between September 2019 and </w:t>
      </w:r>
      <w:r w:rsidR="0040748F">
        <w:rPr>
          <w:lang w:val="en-GB"/>
        </w:rPr>
        <w:t>September</w:t>
      </w:r>
      <w:r w:rsidR="00D60649">
        <w:rPr>
          <w:lang w:val="en-GB"/>
        </w:rPr>
        <w:t xml:space="preserve"> 2020.</w:t>
      </w:r>
    </w:p>
    <w:p w14:paraId="4FAF36ED" w14:textId="2E883E3B" w:rsidR="00623821" w:rsidRDefault="00623821" w:rsidP="00D60649">
      <w:pPr>
        <w:jc w:val="both"/>
        <w:rPr>
          <w:lang w:val="en-GB"/>
        </w:rPr>
      </w:pPr>
      <w:r w:rsidRPr="00623821">
        <w:rPr>
          <w:lang w:val="en-GB"/>
        </w:rPr>
        <w:t>To ensure that panels are not disrupted in their work, a limit of two observers per panel meeting will apply</w:t>
      </w:r>
      <w:r w:rsidR="007B56F7">
        <w:rPr>
          <w:lang w:val="en-GB"/>
        </w:rPr>
        <w:t xml:space="preserve"> during the pilot initiative</w:t>
      </w:r>
      <w:r w:rsidRPr="00623821">
        <w:rPr>
          <w:lang w:val="en-GB"/>
        </w:rPr>
        <w:t xml:space="preserve">. </w:t>
      </w:r>
    </w:p>
    <w:bookmarkEnd w:id="2"/>
    <w:p w14:paraId="0FDAF7D2" w14:textId="77777777" w:rsidR="00623821" w:rsidRPr="00623821" w:rsidRDefault="00623821" w:rsidP="00D60649">
      <w:pPr>
        <w:jc w:val="both"/>
        <w:rPr>
          <w:lang w:val="en-GB"/>
        </w:rPr>
      </w:pPr>
    </w:p>
    <w:p w14:paraId="5E61DEF9" w14:textId="77777777" w:rsidR="00A64A0B" w:rsidRDefault="00576A55" w:rsidP="00D60649">
      <w:pPr>
        <w:pStyle w:val="Heading2"/>
        <w:jc w:val="both"/>
        <w:rPr>
          <w:lang w:val="en-GB"/>
        </w:rPr>
      </w:pPr>
      <w:r>
        <w:rPr>
          <w:lang w:val="en-GB"/>
        </w:rPr>
        <w:t>What you can expect from us</w:t>
      </w:r>
    </w:p>
    <w:p w14:paraId="6BB3CC53" w14:textId="49C69B6D" w:rsidR="00623821" w:rsidRPr="0071148C" w:rsidRDefault="00623821" w:rsidP="0071148C">
      <w:pPr>
        <w:pStyle w:val="ListParagraph"/>
        <w:numPr>
          <w:ilvl w:val="0"/>
          <w:numId w:val="6"/>
        </w:numPr>
        <w:jc w:val="both"/>
        <w:rPr>
          <w:lang w:val="en-GB"/>
        </w:rPr>
      </w:pPr>
      <w:r w:rsidRPr="0071148C">
        <w:rPr>
          <w:lang w:val="en-GB"/>
        </w:rPr>
        <w:t xml:space="preserve">Having been invited to observe a </w:t>
      </w:r>
      <w:r w:rsidR="00427D49" w:rsidRPr="0071148C">
        <w:rPr>
          <w:lang w:val="en-GB"/>
        </w:rPr>
        <w:t xml:space="preserve">specific </w:t>
      </w:r>
      <w:r w:rsidRPr="0071148C">
        <w:rPr>
          <w:lang w:val="en-GB"/>
        </w:rPr>
        <w:t>panel meeting and having confirmed your attendance</w:t>
      </w:r>
      <w:r w:rsidR="00476F4F" w:rsidRPr="0071148C">
        <w:rPr>
          <w:lang w:val="en-GB"/>
        </w:rPr>
        <w:t xml:space="preserve"> we will send you information to determine potential conflicts of interest (a list of the names and affiliation of applicants and the titles of their applications</w:t>
      </w:r>
      <w:r w:rsidR="00305D3F" w:rsidRPr="0071148C">
        <w:rPr>
          <w:lang w:val="en-GB"/>
        </w:rPr>
        <w:t xml:space="preserve"> as well as the relevant rules to enable you to check</w:t>
      </w:r>
      <w:r w:rsidR="00476F4F" w:rsidRPr="0071148C">
        <w:rPr>
          <w:lang w:val="en-GB"/>
        </w:rPr>
        <w:t>).</w:t>
      </w:r>
    </w:p>
    <w:p w14:paraId="6BB26C22" w14:textId="3644D9BB" w:rsidR="00BD0A9A" w:rsidRPr="0071148C" w:rsidRDefault="00476F4F" w:rsidP="0071148C">
      <w:pPr>
        <w:pStyle w:val="ListParagraph"/>
        <w:numPr>
          <w:ilvl w:val="0"/>
          <w:numId w:val="6"/>
        </w:numPr>
        <w:jc w:val="both"/>
        <w:rPr>
          <w:lang w:val="en-GB"/>
        </w:rPr>
      </w:pPr>
      <w:r w:rsidRPr="0071148C">
        <w:rPr>
          <w:lang w:val="en-GB"/>
        </w:rPr>
        <w:t>You w</w:t>
      </w:r>
      <w:r w:rsidR="00BD0A9A" w:rsidRPr="0071148C">
        <w:rPr>
          <w:lang w:val="en-GB"/>
        </w:rPr>
        <w:t xml:space="preserve">ill not </w:t>
      </w:r>
      <w:r w:rsidR="00623821" w:rsidRPr="0071148C">
        <w:rPr>
          <w:lang w:val="en-GB"/>
        </w:rPr>
        <w:t>have</w:t>
      </w:r>
      <w:r w:rsidR="00BD0A9A" w:rsidRPr="0071148C">
        <w:rPr>
          <w:lang w:val="en-GB"/>
        </w:rPr>
        <w:t xml:space="preserve"> access to </w:t>
      </w:r>
      <w:r w:rsidRPr="0071148C">
        <w:rPr>
          <w:lang w:val="en-GB"/>
        </w:rPr>
        <w:t xml:space="preserve">other </w:t>
      </w:r>
      <w:r w:rsidR="00BD0A9A" w:rsidRPr="0071148C">
        <w:rPr>
          <w:lang w:val="en-GB"/>
        </w:rPr>
        <w:t>meeting documents apart from the agenda</w:t>
      </w:r>
      <w:r w:rsidR="00976406" w:rsidRPr="0071148C">
        <w:rPr>
          <w:lang w:val="en-GB"/>
        </w:rPr>
        <w:t xml:space="preserve"> and </w:t>
      </w:r>
      <w:r w:rsidR="00427D49" w:rsidRPr="0071148C">
        <w:rPr>
          <w:lang w:val="en-GB"/>
        </w:rPr>
        <w:t>names of applicants/titles of applications</w:t>
      </w:r>
      <w:r w:rsidR="00BD0A9A" w:rsidRPr="0071148C">
        <w:rPr>
          <w:lang w:val="en-GB"/>
        </w:rPr>
        <w:t xml:space="preserve"> (no applications or reviews)</w:t>
      </w:r>
      <w:r w:rsidR="00623821" w:rsidRPr="0071148C">
        <w:rPr>
          <w:lang w:val="en-GB"/>
        </w:rPr>
        <w:t xml:space="preserve">. However </w:t>
      </w:r>
      <w:r w:rsidRPr="0071148C">
        <w:rPr>
          <w:lang w:val="en-GB"/>
        </w:rPr>
        <w:t>the primary reviewer assigned to each application will give a short overview</w:t>
      </w:r>
      <w:r w:rsidR="007B56F7" w:rsidRPr="0071148C">
        <w:rPr>
          <w:lang w:val="en-GB"/>
        </w:rPr>
        <w:t xml:space="preserve"> of each application</w:t>
      </w:r>
      <w:r w:rsidRPr="0071148C">
        <w:rPr>
          <w:lang w:val="en-GB"/>
        </w:rPr>
        <w:t xml:space="preserve"> which will enable you to follow the discussion.</w:t>
      </w:r>
      <w:r w:rsidR="00623821" w:rsidRPr="0071148C">
        <w:rPr>
          <w:lang w:val="en-GB"/>
        </w:rPr>
        <w:t xml:space="preserve"> </w:t>
      </w:r>
    </w:p>
    <w:p w14:paraId="36EB486B" w14:textId="77777777" w:rsidR="00476F4F" w:rsidRPr="0071148C" w:rsidRDefault="00476F4F" w:rsidP="0071148C">
      <w:pPr>
        <w:pStyle w:val="ListParagraph"/>
        <w:numPr>
          <w:ilvl w:val="0"/>
          <w:numId w:val="6"/>
        </w:numPr>
        <w:jc w:val="both"/>
        <w:rPr>
          <w:lang w:val="en-GB"/>
        </w:rPr>
      </w:pPr>
      <w:r w:rsidRPr="0071148C">
        <w:rPr>
          <w:lang w:val="en-GB"/>
        </w:rPr>
        <w:t>Typically panel meetings go over lunchtime and you are welcome to share the food and tea/coffee provided.</w:t>
      </w:r>
    </w:p>
    <w:p w14:paraId="7B45F248" w14:textId="77777777" w:rsidR="00576A55" w:rsidRPr="0071148C" w:rsidRDefault="00E06C67" w:rsidP="0071148C">
      <w:pPr>
        <w:pStyle w:val="ListParagraph"/>
        <w:numPr>
          <w:ilvl w:val="0"/>
          <w:numId w:val="6"/>
        </w:numPr>
        <w:jc w:val="both"/>
        <w:rPr>
          <w:lang w:val="en-GB"/>
        </w:rPr>
      </w:pPr>
      <w:r w:rsidRPr="0071148C">
        <w:rPr>
          <w:lang w:val="en-GB"/>
        </w:rPr>
        <w:lastRenderedPageBreak/>
        <w:t xml:space="preserve">We will ask you for feedback on the process after the panel meeting. </w:t>
      </w:r>
    </w:p>
    <w:p w14:paraId="456CA3F3" w14:textId="77777777" w:rsidR="00576A55" w:rsidRDefault="00576A55" w:rsidP="00D60649">
      <w:pPr>
        <w:jc w:val="both"/>
        <w:rPr>
          <w:lang w:val="en-GB"/>
        </w:rPr>
      </w:pPr>
    </w:p>
    <w:p w14:paraId="73DA7B6A" w14:textId="77777777" w:rsidR="00576A55" w:rsidRDefault="00576A55" w:rsidP="00D60649">
      <w:pPr>
        <w:pStyle w:val="Heading2"/>
        <w:jc w:val="both"/>
        <w:rPr>
          <w:lang w:val="en-GB"/>
        </w:rPr>
      </w:pPr>
      <w:r>
        <w:rPr>
          <w:lang w:val="en-GB"/>
        </w:rPr>
        <w:t>What we expect from you</w:t>
      </w:r>
    </w:p>
    <w:p w14:paraId="1FBD7F0E" w14:textId="2BCE085E" w:rsidR="00BD0A9A" w:rsidRPr="00DC11E9" w:rsidRDefault="00027FB0" w:rsidP="00DC11E9">
      <w:pPr>
        <w:pStyle w:val="ListParagraph"/>
        <w:numPr>
          <w:ilvl w:val="0"/>
          <w:numId w:val="7"/>
        </w:numPr>
        <w:jc w:val="both"/>
        <w:rPr>
          <w:lang w:val="en-GB"/>
        </w:rPr>
      </w:pPr>
      <w:bookmarkStart w:id="3" w:name="_Hlk12351914"/>
      <w:r w:rsidRPr="00DC11E9">
        <w:rPr>
          <w:lang w:val="en-GB"/>
        </w:rPr>
        <w:t>Please</w:t>
      </w:r>
      <w:r w:rsidR="00BD0A9A" w:rsidRPr="00DC11E9">
        <w:rPr>
          <w:lang w:val="en-GB"/>
        </w:rPr>
        <w:t xml:space="preserve"> talk freely about your experiences with the HRB processes; in fact we ask you to share</w:t>
      </w:r>
      <w:r w:rsidRPr="00DC11E9">
        <w:rPr>
          <w:lang w:val="en-GB"/>
        </w:rPr>
        <w:t xml:space="preserve"> you</w:t>
      </w:r>
      <w:r w:rsidR="000F45AC" w:rsidRPr="00DC11E9">
        <w:rPr>
          <w:lang w:val="en-GB"/>
        </w:rPr>
        <w:t>r</w:t>
      </w:r>
      <w:r w:rsidRPr="00DC11E9">
        <w:rPr>
          <w:lang w:val="en-GB"/>
        </w:rPr>
        <w:t xml:space="preserve"> experience </w:t>
      </w:r>
      <w:r w:rsidR="000F45AC" w:rsidRPr="00DC11E9">
        <w:rPr>
          <w:lang w:val="en-GB"/>
        </w:rPr>
        <w:t xml:space="preserve">of the process </w:t>
      </w:r>
      <w:r w:rsidRPr="00DC11E9">
        <w:rPr>
          <w:lang w:val="en-GB"/>
        </w:rPr>
        <w:t>with others. However we also require you not to talk about a</w:t>
      </w:r>
      <w:r w:rsidR="000F45AC" w:rsidRPr="00DC11E9">
        <w:rPr>
          <w:lang w:val="en-GB"/>
        </w:rPr>
        <w:t>ny</w:t>
      </w:r>
      <w:r w:rsidRPr="00DC11E9">
        <w:rPr>
          <w:lang w:val="en-GB"/>
        </w:rPr>
        <w:t xml:space="preserve"> specific application</w:t>
      </w:r>
      <w:r w:rsidR="000F45AC" w:rsidRPr="00DC11E9">
        <w:rPr>
          <w:lang w:val="en-GB"/>
        </w:rPr>
        <w:t>s</w:t>
      </w:r>
      <w:r w:rsidR="007B56F7" w:rsidRPr="00DC11E9">
        <w:rPr>
          <w:lang w:val="en-GB"/>
        </w:rPr>
        <w:t>,</w:t>
      </w:r>
      <w:r w:rsidRPr="00DC11E9">
        <w:rPr>
          <w:lang w:val="en-GB"/>
        </w:rPr>
        <w:t xml:space="preserve"> details of feedback given</w:t>
      </w:r>
      <w:r w:rsidR="007B56F7" w:rsidRPr="00DC11E9">
        <w:rPr>
          <w:lang w:val="en-GB"/>
        </w:rPr>
        <w:t>, or application-specific panel discussions</w:t>
      </w:r>
      <w:r w:rsidRPr="00DC11E9">
        <w:rPr>
          <w:lang w:val="en-GB"/>
        </w:rPr>
        <w:t xml:space="preserve">. This </w:t>
      </w:r>
      <w:r w:rsidR="000F45AC" w:rsidRPr="00DC11E9">
        <w:rPr>
          <w:lang w:val="en-GB"/>
        </w:rPr>
        <w:t xml:space="preserve">information </w:t>
      </w:r>
      <w:r w:rsidRPr="00DC11E9">
        <w:rPr>
          <w:lang w:val="en-GB"/>
        </w:rPr>
        <w:t xml:space="preserve">is </w:t>
      </w:r>
      <w:proofErr w:type="gramStart"/>
      <w:r w:rsidRPr="00DC11E9">
        <w:rPr>
          <w:lang w:val="en-GB"/>
        </w:rPr>
        <w:t>confidential</w:t>
      </w:r>
      <w:proofErr w:type="gramEnd"/>
      <w:r w:rsidRPr="00DC11E9">
        <w:rPr>
          <w:lang w:val="en-GB"/>
        </w:rPr>
        <w:t xml:space="preserve"> and </w:t>
      </w:r>
      <w:r w:rsidR="00623821" w:rsidRPr="00DC11E9">
        <w:rPr>
          <w:lang w:val="en-GB"/>
        </w:rPr>
        <w:t xml:space="preserve">you will be </w:t>
      </w:r>
      <w:r w:rsidR="007B56F7" w:rsidRPr="00DC11E9">
        <w:rPr>
          <w:lang w:val="en-GB"/>
        </w:rPr>
        <w:t xml:space="preserve">required </w:t>
      </w:r>
      <w:r w:rsidR="00623821" w:rsidRPr="00DC11E9">
        <w:rPr>
          <w:lang w:val="en-GB"/>
        </w:rPr>
        <w:t xml:space="preserve">to sign a confidentiality agreement before attending. </w:t>
      </w:r>
      <w:r w:rsidR="00CA3106" w:rsidRPr="00DC11E9">
        <w:rPr>
          <w:lang w:val="en-GB"/>
        </w:rPr>
        <w:t xml:space="preserve">Confidentiality </w:t>
      </w:r>
      <w:r w:rsidR="00623821" w:rsidRPr="00DC11E9">
        <w:rPr>
          <w:lang w:val="en-GB"/>
        </w:rPr>
        <w:t xml:space="preserve">includes agreeing not to share direct feedback with individual applicants. </w:t>
      </w:r>
    </w:p>
    <w:p w14:paraId="43C00524" w14:textId="6F1E2C9C" w:rsidR="00CA3106" w:rsidRPr="00DC11E9" w:rsidRDefault="00CA3106" w:rsidP="00DC11E9">
      <w:pPr>
        <w:pStyle w:val="ListParagraph"/>
        <w:numPr>
          <w:ilvl w:val="0"/>
          <w:numId w:val="7"/>
        </w:numPr>
        <w:jc w:val="both"/>
        <w:rPr>
          <w:lang w:val="en-GB"/>
        </w:rPr>
      </w:pPr>
      <w:r w:rsidRPr="00DC11E9">
        <w:rPr>
          <w:lang w:val="en-GB"/>
        </w:rPr>
        <w:t xml:space="preserve">We will ask you before the meeting to declare conflicts of interest with applications </w:t>
      </w:r>
      <w:r w:rsidR="00512781" w:rsidRPr="00DC11E9">
        <w:rPr>
          <w:lang w:val="en-GB"/>
        </w:rPr>
        <w:t xml:space="preserve">discussed by </w:t>
      </w:r>
      <w:r w:rsidRPr="00DC11E9">
        <w:rPr>
          <w:lang w:val="en-GB"/>
        </w:rPr>
        <w:t>the panel</w:t>
      </w:r>
      <w:r w:rsidR="000F45AC" w:rsidRPr="00DC11E9">
        <w:rPr>
          <w:lang w:val="en-GB"/>
        </w:rPr>
        <w:t xml:space="preserve">, and any that arise </w:t>
      </w:r>
      <w:proofErr w:type="gramStart"/>
      <w:r w:rsidR="000F45AC" w:rsidRPr="00DC11E9">
        <w:rPr>
          <w:lang w:val="en-GB"/>
        </w:rPr>
        <w:t>during the course of</w:t>
      </w:r>
      <w:proofErr w:type="gramEnd"/>
      <w:r w:rsidR="000F45AC" w:rsidRPr="00DC11E9">
        <w:rPr>
          <w:lang w:val="en-GB"/>
        </w:rPr>
        <w:t xml:space="preserve"> the meeting as you become aware of </w:t>
      </w:r>
      <w:proofErr w:type="spellStart"/>
      <w:r w:rsidR="000F45AC" w:rsidRPr="00DC11E9">
        <w:rPr>
          <w:lang w:val="en-GB"/>
        </w:rPr>
        <w:t>CoIs</w:t>
      </w:r>
      <w:proofErr w:type="spellEnd"/>
      <w:r w:rsidRPr="00DC11E9">
        <w:rPr>
          <w:lang w:val="en-GB"/>
        </w:rPr>
        <w:t xml:space="preserve">. Should you have a conflict we will ask you to </w:t>
      </w:r>
      <w:r w:rsidR="000F45AC" w:rsidRPr="00DC11E9">
        <w:rPr>
          <w:lang w:val="en-GB"/>
        </w:rPr>
        <w:t xml:space="preserve">inform the Chair immediately and </w:t>
      </w:r>
      <w:r w:rsidRPr="00DC11E9">
        <w:rPr>
          <w:lang w:val="en-GB"/>
        </w:rPr>
        <w:t xml:space="preserve">leave the room for the discussion of this application. </w:t>
      </w:r>
    </w:p>
    <w:bookmarkEnd w:id="3"/>
    <w:p w14:paraId="389213BD" w14:textId="1196D0F1" w:rsidR="007838FD" w:rsidRPr="00DC11E9" w:rsidRDefault="00061DF9" w:rsidP="00DC11E9">
      <w:pPr>
        <w:pStyle w:val="ListParagraph"/>
        <w:numPr>
          <w:ilvl w:val="0"/>
          <w:numId w:val="7"/>
        </w:numPr>
        <w:jc w:val="both"/>
        <w:rPr>
          <w:lang w:val="en-GB"/>
        </w:rPr>
      </w:pPr>
      <w:r w:rsidRPr="00DC11E9">
        <w:rPr>
          <w:lang w:val="en-GB"/>
        </w:rPr>
        <w:t xml:space="preserve">We will ask you to </w:t>
      </w:r>
      <w:r w:rsidR="009E4BD2" w:rsidRPr="00DC11E9">
        <w:rPr>
          <w:lang w:val="en-GB"/>
        </w:rPr>
        <w:t xml:space="preserve">not use your </w:t>
      </w:r>
      <w:r w:rsidRPr="00DC11E9">
        <w:rPr>
          <w:lang w:val="en-GB"/>
        </w:rPr>
        <w:t>mobile p</w:t>
      </w:r>
      <w:r w:rsidR="00305D3F" w:rsidRPr="00DC11E9">
        <w:rPr>
          <w:lang w:val="en-GB"/>
        </w:rPr>
        <w:t>h</w:t>
      </w:r>
      <w:r w:rsidRPr="00DC11E9">
        <w:rPr>
          <w:lang w:val="en-GB"/>
        </w:rPr>
        <w:t xml:space="preserve">ones </w:t>
      </w:r>
      <w:r w:rsidR="009E4BD2" w:rsidRPr="00DC11E9">
        <w:rPr>
          <w:lang w:val="en-GB"/>
        </w:rPr>
        <w:t xml:space="preserve">or laptops </w:t>
      </w:r>
      <w:r w:rsidR="00305D3F" w:rsidRPr="00DC11E9">
        <w:rPr>
          <w:lang w:val="en-GB"/>
        </w:rPr>
        <w:t>for the duration of the meeting. We don’t want</w:t>
      </w:r>
      <w:r w:rsidR="007838FD" w:rsidRPr="00DC11E9">
        <w:rPr>
          <w:lang w:val="en-GB"/>
        </w:rPr>
        <w:t xml:space="preserve"> social media commentary as the panel happens</w:t>
      </w:r>
      <w:r w:rsidR="00305D3F" w:rsidRPr="00DC11E9">
        <w:rPr>
          <w:lang w:val="en-GB"/>
        </w:rPr>
        <w:t xml:space="preserve"> or</w:t>
      </w:r>
      <w:r w:rsidR="007838FD" w:rsidRPr="00DC11E9">
        <w:rPr>
          <w:lang w:val="en-GB"/>
        </w:rPr>
        <w:t xml:space="preserve"> </w:t>
      </w:r>
      <w:r w:rsidR="003E1EE5" w:rsidRPr="00DC11E9">
        <w:rPr>
          <w:lang w:val="en-GB"/>
        </w:rPr>
        <w:t>recordin</w:t>
      </w:r>
      <w:r w:rsidR="0052416E" w:rsidRPr="00DC11E9">
        <w:rPr>
          <w:lang w:val="en-GB"/>
        </w:rPr>
        <w:t>gs being posted</w:t>
      </w:r>
      <w:r w:rsidR="007838FD" w:rsidRPr="00DC11E9">
        <w:rPr>
          <w:lang w:val="en-GB"/>
        </w:rPr>
        <w:t xml:space="preserve"> etc. </w:t>
      </w:r>
      <w:r w:rsidR="009E4BD2" w:rsidRPr="00DC11E9">
        <w:rPr>
          <w:lang w:val="en-GB"/>
        </w:rPr>
        <w:t>We also ask you not to take notes</w:t>
      </w:r>
      <w:r w:rsidR="00DC11E9">
        <w:rPr>
          <w:lang w:val="en-GB"/>
        </w:rPr>
        <w:t xml:space="preserve"> about individual applications</w:t>
      </w:r>
      <w:r w:rsidR="009E4BD2" w:rsidRPr="00DC11E9">
        <w:rPr>
          <w:lang w:val="en-GB"/>
        </w:rPr>
        <w:t xml:space="preserve"> in other formats</w:t>
      </w:r>
      <w:r w:rsidR="004B71D9" w:rsidRPr="00DC11E9">
        <w:rPr>
          <w:lang w:val="en-GB"/>
        </w:rPr>
        <w:t xml:space="preserve"> and to leave behind any documentation provided to you</w:t>
      </w:r>
      <w:r w:rsidR="009E4BD2" w:rsidRPr="00DC11E9">
        <w:rPr>
          <w:lang w:val="en-GB"/>
        </w:rPr>
        <w:t>.</w:t>
      </w:r>
    </w:p>
    <w:p w14:paraId="585C1D88" w14:textId="7FF91B04" w:rsidR="00745F97" w:rsidRPr="00DC11E9" w:rsidRDefault="007838FD" w:rsidP="00DC11E9">
      <w:pPr>
        <w:pStyle w:val="ListParagraph"/>
        <w:numPr>
          <w:ilvl w:val="0"/>
          <w:numId w:val="7"/>
        </w:numPr>
        <w:jc w:val="both"/>
        <w:rPr>
          <w:lang w:val="en-GB"/>
        </w:rPr>
      </w:pPr>
      <w:r w:rsidRPr="00DC11E9">
        <w:rPr>
          <w:lang w:val="en-GB"/>
        </w:rPr>
        <w:t>You m</w:t>
      </w:r>
      <w:r w:rsidR="00745F97" w:rsidRPr="00DC11E9">
        <w:rPr>
          <w:lang w:val="en-GB"/>
        </w:rPr>
        <w:t>ust agree to remain silent throughout the panel discussion</w:t>
      </w:r>
      <w:r w:rsidR="00623821" w:rsidRPr="00DC11E9">
        <w:rPr>
          <w:lang w:val="en-GB"/>
        </w:rPr>
        <w:t>. You</w:t>
      </w:r>
      <w:r w:rsidR="00CA3106" w:rsidRPr="00DC11E9">
        <w:rPr>
          <w:lang w:val="en-GB"/>
        </w:rPr>
        <w:t xml:space="preserve"> have no</w:t>
      </w:r>
      <w:r w:rsidR="00623821" w:rsidRPr="00DC11E9">
        <w:rPr>
          <w:lang w:val="en-GB"/>
        </w:rPr>
        <w:t xml:space="preserve"> role </w:t>
      </w:r>
      <w:r w:rsidR="00CA3106" w:rsidRPr="00DC11E9">
        <w:rPr>
          <w:lang w:val="en-GB"/>
        </w:rPr>
        <w:t>in</w:t>
      </w:r>
      <w:r w:rsidR="00623821" w:rsidRPr="00DC11E9">
        <w:rPr>
          <w:lang w:val="en-GB"/>
        </w:rPr>
        <w:t xml:space="preserve"> influenc</w:t>
      </w:r>
      <w:r w:rsidR="00CA3106" w:rsidRPr="00DC11E9">
        <w:rPr>
          <w:lang w:val="en-GB"/>
        </w:rPr>
        <w:t>ing</w:t>
      </w:r>
      <w:r w:rsidR="00623821" w:rsidRPr="00DC11E9">
        <w:rPr>
          <w:lang w:val="en-GB"/>
        </w:rPr>
        <w:t xml:space="preserve"> panel proceedings in any form. Please </w:t>
      </w:r>
      <w:r w:rsidR="00976406" w:rsidRPr="00DC11E9">
        <w:rPr>
          <w:lang w:val="en-GB"/>
        </w:rPr>
        <w:t>avoid</w:t>
      </w:r>
      <w:r w:rsidR="00623821" w:rsidRPr="00DC11E9">
        <w:rPr>
          <w:lang w:val="en-GB"/>
        </w:rPr>
        <w:t xml:space="preserve"> disturb</w:t>
      </w:r>
      <w:r w:rsidR="00976406" w:rsidRPr="00DC11E9">
        <w:rPr>
          <w:lang w:val="en-GB"/>
        </w:rPr>
        <w:t>ing</w:t>
      </w:r>
      <w:r w:rsidR="00623821" w:rsidRPr="00DC11E9">
        <w:rPr>
          <w:lang w:val="en-GB"/>
        </w:rPr>
        <w:t xml:space="preserve"> the panel by coming or going during the meeting. Use the breaks if you </w:t>
      </w:r>
      <w:proofErr w:type="gramStart"/>
      <w:r w:rsidR="00623821" w:rsidRPr="00DC11E9">
        <w:rPr>
          <w:lang w:val="en-GB"/>
        </w:rPr>
        <w:t>have to</w:t>
      </w:r>
      <w:proofErr w:type="gramEnd"/>
      <w:r w:rsidR="00623821" w:rsidRPr="00DC11E9">
        <w:rPr>
          <w:lang w:val="en-GB"/>
        </w:rPr>
        <w:t xml:space="preserve"> come or go at other times. </w:t>
      </w:r>
      <w:r w:rsidR="00CA3106" w:rsidRPr="00DC11E9">
        <w:rPr>
          <w:lang w:val="en-GB"/>
        </w:rPr>
        <w:t xml:space="preserve">If you behave in a way that the Chair and/or HRB staff considers to be inappropriate or disruptive you </w:t>
      </w:r>
      <w:r w:rsidR="00427D49" w:rsidRPr="00DC11E9">
        <w:rPr>
          <w:lang w:val="en-GB"/>
        </w:rPr>
        <w:t>may</w:t>
      </w:r>
      <w:r w:rsidR="00CA3106" w:rsidRPr="00DC11E9">
        <w:rPr>
          <w:lang w:val="en-GB"/>
        </w:rPr>
        <w:t xml:space="preserve"> be asked to leave.</w:t>
      </w:r>
    </w:p>
    <w:p w14:paraId="60E5C25F" w14:textId="77777777" w:rsidR="00CA3106" w:rsidRPr="00DC11E9" w:rsidRDefault="00867CA8" w:rsidP="00DC11E9">
      <w:pPr>
        <w:pStyle w:val="ListParagraph"/>
        <w:numPr>
          <w:ilvl w:val="0"/>
          <w:numId w:val="7"/>
        </w:numPr>
        <w:jc w:val="both"/>
        <w:rPr>
          <w:lang w:val="en-GB"/>
        </w:rPr>
      </w:pPr>
      <w:r w:rsidRPr="00DC11E9">
        <w:rPr>
          <w:lang w:val="en-GB"/>
        </w:rPr>
        <w:t xml:space="preserve">We suggest that you read the guidance notes to the scheme that you are going to observe ahead of the meeting. This will give you a better understanding of what the panel is looking for. However this is of course up to you. </w:t>
      </w:r>
    </w:p>
    <w:p w14:paraId="695E99CA" w14:textId="77777777" w:rsidR="00867CA8" w:rsidRDefault="00867CA8" w:rsidP="00D60649">
      <w:pPr>
        <w:jc w:val="both"/>
        <w:rPr>
          <w:lang w:val="en-GB"/>
        </w:rPr>
      </w:pPr>
    </w:p>
    <w:p w14:paraId="6D3ECE12" w14:textId="77777777" w:rsidR="00745F97" w:rsidRDefault="00E06C67" w:rsidP="00D60649">
      <w:pPr>
        <w:pStyle w:val="Heading2"/>
        <w:jc w:val="both"/>
        <w:rPr>
          <w:lang w:val="en-GB"/>
        </w:rPr>
      </w:pPr>
      <w:r>
        <w:rPr>
          <w:lang w:val="en-GB"/>
        </w:rPr>
        <w:t>What should I do if I think the panel misunderstoo</w:t>
      </w:r>
      <w:r w:rsidR="00024097">
        <w:rPr>
          <w:lang w:val="en-GB"/>
        </w:rPr>
        <w:t>d</w:t>
      </w:r>
      <w:r>
        <w:rPr>
          <w:lang w:val="en-GB"/>
        </w:rPr>
        <w:t xml:space="preserve"> context or </w:t>
      </w:r>
      <w:r w:rsidR="00024097">
        <w:rPr>
          <w:lang w:val="en-GB"/>
        </w:rPr>
        <w:t>was biased?</w:t>
      </w:r>
    </w:p>
    <w:p w14:paraId="1D7473C4" w14:textId="58C98BB2" w:rsidR="00745F97" w:rsidRDefault="00024097" w:rsidP="00D60649">
      <w:pPr>
        <w:jc w:val="both"/>
        <w:rPr>
          <w:lang w:val="en-GB"/>
        </w:rPr>
      </w:pPr>
      <w:r>
        <w:rPr>
          <w:lang w:val="en-GB"/>
        </w:rPr>
        <w:t>Explaining Irish context for international panel members is part of the applicants’ job. If this is missing or not sufficiently clear</w:t>
      </w:r>
      <w:r w:rsidR="005D3375">
        <w:rPr>
          <w:lang w:val="en-GB"/>
        </w:rPr>
        <w:t>,</w:t>
      </w:r>
      <w:r>
        <w:rPr>
          <w:lang w:val="en-GB"/>
        </w:rPr>
        <w:t xml:space="preserve"> the application is missing an important aspect and may be judged accordingly. On occasion HRB staff will make a high-level comment (e.g. that there’s a mix of public and private provision in our healthcare system), but we can</w:t>
      </w:r>
      <w:r w:rsidR="005D3375">
        <w:rPr>
          <w:lang w:val="en-GB"/>
        </w:rPr>
        <w:t>not</w:t>
      </w:r>
      <w:r>
        <w:rPr>
          <w:lang w:val="en-GB"/>
        </w:rPr>
        <w:t xml:space="preserve"> and do not go into detail.</w:t>
      </w:r>
    </w:p>
    <w:p w14:paraId="1789D6FC" w14:textId="3BCFF995" w:rsidR="00024097" w:rsidRDefault="00024097" w:rsidP="00D60649">
      <w:pPr>
        <w:jc w:val="both"/>
        <w:rPr>
          <w:lang w:val="en-GB"/>
        </w:rPr>
      </w:pPr>
      <w:r w:rsidRPr="00E321A9">
        <w:rPr>
          <w:lang w:val="en-GB"/>
        </w:rPr>
        <w:t xml:space="preserve">Spotting </w:t>
      </w:r>
      <w:r w:rsidR="007838FD" w:rsidRPr="00E321A9">
        <w:rPr>
          <w:lang w:val="en-GB"/>
        </w:rPr>
        <w:t xml:space="preserve">and challenging </w:t>
      </w:r>
      <w:r w:rsidRPr="00E321A9">
        <w:rPr>
          <w:lang w:val="en-GB"/>
        </w:rPr>
        <w:t xml:space="preserve">potential bias is the </w:t>
      </w:r>
      <w:r w:rsidR="007838FD" w:rsidRPr="00E321A9">
        <w:rPr>
          <w:lang w:val="en-GB"/>
        </w:rPr>
        <w:t>role</w:t>
      </w:r>
      <w:r w:rsidRPr="00E321A9">
        <w:rPr>
          <w:lang w:val="en-GB"/>
        </w:rPr>
        <w:t xml:space="preserve"> of the Chair</w:t>
      </w:r>
      <w:r w:rsidR="00CA3106" w:rsidRPr="00E321A9">
        <w:rPr>
          <w:lang w:val="en-GB"/>
        </w:rPr>
        <w:t>,</w:t>
      </w:r>
      <w:r w:rsidR="007838FD" w:rsidRPr="00E321A9">
        <w:rPr>
          <w:lang w:val="en-GB"/>
        </w:rPr>
        <w:t xml:space="preserve"> all other panel members</w:t>
      </w:r>
      <w:r w:rsidRPr="00E321A9">
        <w:rPr>
          <w:lang w:val="en-GB"/>
        </w:rPr>
        <w:t xml:space="preserve"> and of HRB staff. </w:t>
      </w:r>
      <w:r w:rsidR="00976406">
        <w:rPr>
          <w:lang w:val="en-GB"/>
        </w:rPr>
        <w:t xml:space="preserve">Again, you are an observer and have no role in influencing the panel. </w:t>
      </w:r>
    </w:p>
    <w:p w14:paraId="1E093E8A" w14:textId="77777777" w:rsidR="00024097" w:rsidRDefault="00024097" w:rsidP="00D60649">
      <w:pPr>
        <w:jc w:val="both"/>
        <w:rPr>
          <w:lang w:val="en-GB"/>
        </w:rPr>
      </w:pPr>
    </w:p>
    <w:p w14:paraId="63B1086D" w14:textId="173CA44B" w:rsidR="00745F97" w:rsidRDefault="00745F97" w:rsidP="00D60649">
      <w:pPr>
        <w:pStyle w:val="Heading2"/>
        <w:jc w:val="both"/>
        <w:rPr>
          <w:lang w:val="en-GB"/>
        </w:rPr>
      </w:pPr>
      <w:r>
        <w:rPr>
          <w:lang w:val="en-GB"/>
        </w:rPr>
        <w:t>How we will select observers</w:t>
      </w:r>
      <w:r w:rsidR="00305D3F">
        <w:rPr>
          <w:lang w:val="en-GB"/>
        </w:rPr>
        <w:t xml:space="preserve"> for the pilot</w:t>
      </w:r>
    </w:p>
    <w:p w14:paraId="199D24B4" w14:textId="6FA627D2" w:rsidR="00745F97" w:rsidRDefault="003B5B8F" w:rsidP="00D60649">
      <w:pPr>
        <w:jc w:val="both"/>
        <w:rPr>
          <w:lang w:val="en-GB"/>
        </w:rPr>
      </w:pPr>
      <w:r>
        <w:rPr>
          <w:lang w:val="en-GB"/>
        </w:rPr>
        <w:t>Almost all</w:t>
      </w:r>
      <w:r w:rsidR="00745F97">
        <w:rPr>
          <w:lang w:val="en-GB"/>
        </w:rPr>
        <w:t xml:space="preserve"> survey respondents</w:t>
      </w:r>
      <w:r w:rsidR="00027FB0">
        <w:rPr>
          <w:lang w:val="en-GB"/>
        </w:rPr>
        <w:t xml:space="preserve"> (295)</w:t>
      </w:r>
      <w:r w:rsidR="00745F97">
        <w:rPr>
          <w:lang w:val="en-GB"/>
        </w:rPr>
        <w:t xml:space="preserve"> indicated that they would be interested in becoming an observer. </w:t>
      </w:r>
      <w:r w:rsidR="00027FB0">
        <w:rPr>
          <w:lang w:val="en-GB"/>
        </w:rPr>
        <w:t xml:space="preserve">We have therefore decided to focus </w:t>
      </w:r>
      <w:r w:rsidR="00305D3F">
        <w:rPr>
          <w:lang w:val="en-GB"/>
        </w:rPr>
        <w:t>this pilot</w:t>
      </w:r>
      <w:r w:rsidR="00027FB0">
        <w:rPr>
          <w:lang w:val="en-GB"/>
        </w:rPr>
        <w:t xml:space="preserve"> on multipliers who can tell others in their institution</w:t>
      </w:r>
      <w:r w:rsidR="006A1FCC">
        <w:rPr>
          <w:lang w:val="en-GB"/>
        </w:rPr>
        <w:t xml:space="preserve"> and networks</w:t>
      </w:r>
      <w:r w:rsidR="00027FB0">
        <w:rPr>
          <w:lang w:val="en-GB"/>
        </w:rPr>
        <w:t xml:space="preserve"> about HRB processes. In the first instance, research office staff from the universities </w:t>
      </w:r>
      <w:r w:rsidR="00976406">
        <w:rPr>
          <w:lang w:val="en-GB"/>
        </w:rPr>
        <w:t xml:space="preserve">and RCSI </w:t>
      </w:r>
      <w:r w:rsidR="00027FB0">
        <w:rPr>
          <w:lang w:val="en-GB"/>
        </w:rPr>
        <w:t xml:space="preserve">(who jointly hold over 90% of HRB awards) will be invited to attend. We will </w:t>
      </w:r>
      <w:r w:rsidR="00027FB0" w:rsidRPr="00511645">
        <w:rPr>
          <w:lang w:val="en-GB"/>
        </w:rPr>
        <w:t>select one place per institution for the next four suitable panel meetings</w:t>
      </w:r>
      <w:r w:rsidR="00CA3106" w:rsidRPr="00511645">
        <w:rPr>
          <w:lang w:val="en-GB"/>
        </w:rPr>
        <w:t>;</w:t>
      </w:r>
      <w:r w:rsidR="002816AC" w:rsidRPr="00511645">
        <w:rPr>
          <w:lang w:val="en-GB"/>
        </w:rPr>
        <w:t xml:space="preserve"> an institution who has already </w:t>
      </w:r>
      <w:r w:rsidR="00CA3106" w:rsidRPr="00511645">
        <w:rPr>
          <w:lang w:val="en-GB"/>
        </w:rPr>
        <w:t>taken up</w:t>
      </w:r>
      <w:r w:rsidR="002816AC" w:rsidRPr="00511645">
        <w:rPr>
          <w:lang w:val="en-GB"/>
        </w:rPr>
        <w:t xml:space="preserve"> an observer opportunity will not be re-invited</w:t>
      </w:r>
      <w:r w:rsidR="00512781" w:rsidRPr="00511645">
        <w:rPr>
          <w:lang w:val="en-GB"/>
        </w:rPr>
        <w:t xml:space="preserve"> within this </w:t>
      </w:r>
      <w:r w:rsidR="001309FE" w:rsidRPr="00511645">
        <w:rPr>
          <w:lang w:val="en-GB"/>
        </w:rPr>
        <w:t>pilot</w:t>
      </w:r>
      <w:r w:rsidR="00027FB0" w:rsidRPr="00511645">
        <w:rPr>
          <w:lang w:val="en-GB"/>
        </w:rPr>
        <w:t>.</w:t>
      </w:r>
      <w:r w:rsidR="00027FB0">
        <w:rPr>
          <w:lang w:val="en-GB"/>
        </w:rPr>
        <w:t xml:space="preserve"> </w:t>
      </w:r>
    </w:p>
    <w:p w14:paraId="3C95BE78" w14:textId="77777777" w:rsidR="00027FB0" w:rsidRDefault="00027FB0" w:rsidP="00D60649">
      <w:pPr>
        <w:jc w:val="both"/>
        <w:rPr>
          <w:lang w:val="en-GB"/>
        </w:rPr>
      </w:pPr>
      <w:r>
        <w:rPr>
          <w:lang w:val="en-GB"/>
        </w:rPr>
        <w:t xml:space="preserve">Secondly, research office staff from other host institutions will be invited in the same manner. </w:t>
      </w:r>
    </w:p>
    <w:p w14:paraId="57B8DA75" w14:textId="04C732B7" w:rsidR="00745F97" w:rsidRDefault="0091052F" w:rsidP="00D60649">
      <w:pPr>
        <w:jc w:val="both"/>
        <w:rPr>
          <w:lang w:val="en-GB"/>
        </w:rPr>
      </w:pPr>
      <w:r>
        <w:rPr>
          <w:lang w:val="en-GB"/>
        </w:rPr>
        <w:lastRenderedPageBreak/>
        <w:t xml:space="preserve">Assuming we decide to continue with this initiative after the pilot phase </w:t>
      </w:r>
      <w:r w:rsidR="00CA3106">
        <w:rPr>
          <w:lang w:val="en-GB"/>
        </w:rPr>
        <w:t xml:space="preserve">we will ask host institutions to nominate a small number of staff that should fit certain criteria (e.g. be at post-doc and research fellow level or a </w:t>
      </w:r>
      <w:r w:rsidR="00745F97" w:rsidRPr="00745F97">
        <w:rPr>
          <w:lang w:val="en-GB"/>
        </w:rPr>
        <w:t>coordinator of</w:t>
      </w:r>
      <w:r w:rsidR="00CA3106">
        <w:rPr>
          <w:lang w:val="en-GB"/>
        </w:rPr>
        <w:t xml:space="preserve"> a</w:t>
      </w:r>
      <w:r w:rsidR="00745F97" w:rsidRPr="00745F97">
        <w:rPr>
          <w:lang w:val="en-GB"/>
        </w:rPr>
        <w:t xml:space="preserve"> large awards (including infrastructures)</w:t>
      </w:r>
      <w:r w:rsidR="001309FE">
        <w:rPr>
          <w:lang w:val="en-GB"/>
        </w:rPr>
        <w:t>,</w:t>
      </w:r>
      <w:r w:rsidR="00CA3106" w:rsidRPr="00CA3106">
        <w:rPr>
          <w:lang w:val="en-GB"/>
        </w:rPr>
        <w:t xml:space="preserve"> </w:t>
      </w:r>
      <w:r w:rsidR="00CA3106" w:rsidRPr="00745F97">
        <w:rPr>
          <w:lang w:val="en-GB"/>
        </w:rPr>
        <w:t>have not attended a selection panel meeting before</w:t>
      </w:r>
      <w:r w:rsidR="001309FE">
        <w:rPr>
          <w:lang w:val="en-GB"/>
        </w:rPr>
        <w:t xml:space="preserve"> and agree to share their experience with others</w:t>
      </w:r>
      <w:r w:rsidR="00CA3106">
        <w:rPr>
          <w:lang w:val="en-GB"/>
        </w:rPr>
        <w:t>. A</w:t>
      </w:r>
      <w:r w:rsidR="00745F97" w:rsidRPr="00745F97">
        <w:rPr>
          <w:lang w:val="en-GB"/>
        </w:rPr>
        <w:t xml:space="preserve"> randomised method will </w:t>
      </w:r>
      <w:r w:rsidR="00CA3106">
        <w:rPr>
          <w:lang w:val="en-GB"/>
        </w:rPr>
        <w:t xml:space="preserve">then </w:t>
      </w:r>
      <w:r w:rsidR="00745F97" w:rsidRPr="00745F97">
        <w:rPr>
          <w:lang w:val="en-GB"/>
        </w:rPr>
        <w:t>be used to select observers</w:t>
      </w:r>
      <w:r w:rsidR="00CA3106">
        <w:rPr>
          <w:lang w:val="en-GB"/>
        </w:rPr>
        <w:t>, bearing in mind balance between institutions.</w:t>
      </w:r>
    </w:p>
    <w:p w14:paraId="551B4B80" w14:textId="39572A1F" w:rsidR="00976406" w:rsidRPr="00745F97" w:rsidRDefault="00976406" w:rsidP="00D60649">
      <w:pPr>
        <w:jc w:val="both"/>
        <w:rPr>
          <w:lang w:val="en-GB"/>
        </w:rPr>
      </w:pPr>
      <w:r>
        <w:rPr>
          <w:lang w:val="en-GB"/>
        </w:rPr>
        <w:t xml:space="preserve">At any stage we may also invite future PPI panel members to observe a panel meeting as a training opportunity. </w:t>
      </w:r>
      <w:r w:rsidR="006A1FCC">
        <w:rPr>
          <w:lang w:val="en-GB"/>
        </w:rPr>
        <w:t>PPI panel members fulfil a different and distinct role in comparison to observers.</w:t>
      </w:r>
    </w:p>
    <w:p w14:paraId="69A1A4AD" w14:textId="77777777" w:rsidR="00BD0A9A" w:rsidRDefault="00BD0A9A" w:rsidP="00D60649">
      <w:pPr>
        <w:jc w:val="both"/>
        <w:rPr>
          <w:lang w:val="en-GB"/>
        </w:rPr>
      </w:pPr>
    </w:p>
    <w:p w14:paraId="5DD52A21" w14:textId="5F78288B" w:rsidR="00BD0A9A" w:rsidRDefault="00BD0A9A" w:rsidP="00D60649">
      <w:pPr>
        <w:pStyle w:val="Heading2"/>
        <w:jc w:val="both"/>
        <w:rPr>
          <w:lang w:val="en-GB"/>
        </w:rPr>
      </w:pPr>
      <w:r>
        <w:rPr>
          <w:lang w:val="en-GB"/>
        </w:rPr>
        <w:t xml:space="preserve">Conflict of interest </w:t>
      </w:r>
    </w:p>
    <w:p w14:paraId="55BE2D99" w14:textId="21788444" w:rsidR="00BD0A9A" w:rsidRDefault="00BD0A9A" w:rsidP="00D60649">
      <w:pPr>
        <w:jc w:val="both"/>
        <w:rPr>
          <w:lang w:val="en-GB"/>
        </w:rPr>
      </w:pPr>
      <w:r>
        <w:rPr>
          <w:lang w:val="en-GB"/>
        </w:rPr>
        <w:t xml:space="preserve">A good moral guide might be the consideration how you would feel if somebody with your level of conflict of interest would observe a panel meeting discussing your application. </w:t>
      </w:r>
      <w:r w:rsidR="004E780F">
        <w:rPr>
          <w:lang w:val="en-GB"/>
        </w:rPr>
        <w:t xml:space="preserve">A </w:t>
      </w:r>
      <w:r w:rsidR="004E780F" w:rsidRPr="0052416E">
        <w:rPr>
          <w:u w:val="single"/>
          <w:lang w:val="en-GB"/>
        </w:rPr>
        <w:t>disqualifying conflict of interest</w:t>
      </w:r>
      <w:r w:rsidR="004E780F" w:rsidRPr="0052416E">
        <w:rPr>
          <w:lang w:val="en-GB"/>
        </w:rPr>
        <w:t xml:space="preserve"> </w:t>
      </w:r>
      <w:r w:rsidR="004E780F">
        <w:rPr>
          <w:lang w:val="en-GB"/>
        </w:rPr>
        <w:t>exists where t</w:t>
      </w:r>
      <w:r>
        <w:rPr>
          <w:lang w:val="en-GB"/>
        </w:rPr>
        <w:t>he observer:</w:t>
      </w:r>
    </w:p>
    <w:p w14:paraId="615A86D6" w14:textId="05D2D20E" w:rsidR="004E780F" w:rsidRDefault="004E780F" w:rsidP="004E780F">
      <w:pPr>
        <w:pStyle w:val="ListParagraph"/>
        <w:numPr>
          <w:ilvl w:val="0"/>
          <w:numId w:val="5"/>
        </w:numPr>
        <w:spacing w:after="0" w:line="240" w:lineRule="auto"/>
        <w:ind w:left="851"/>
        <w:jc w:val="both"/>
      </w:pPr>
      <w:r>
        <w:t xml:space="preserve">Was involved in the preparation of </w:t>
      </w:r>
      <w:r w:rsidR="0052416E">
        <w:t>an</w:t>
      </w:r>
      <w:r>
        <w:t xml:space="preserve"> application</w:t>
      </w:r>
      <w:r w:rsidR="0052416E">
        <w:t xml:space="preserve"> to the scheme</w:t>
      </w:r>
      <w:r>
        <w:t xml:space="preserve"> </w:t>
      </w:r>
    </w:p>
    <w:p w14:paraId="68F3AFAF" w14:textId="77777777" w:rsidR="004E780F" w:rsidRDefault="004E780F" w:rsidP="004E780F">
      <w:pPr>
        <w:pStyle w:val="ListParagraph"/>
        <w:numPr>
          <w:ilvl w:val="0"/>
          <w:numId w:val="5"/>
        </w:numPr>
        <w:spacing w:after="0" w:line="240" w:lineRule="auto"/>
        <w:ind w:left="851"/>
        <w:jc w:val="both"/>
      </w:pPr>
      <w:r>
        <w:t>Stands to benefit directly should the proposal be accepted or rejected</w:t>
      </w:r>
    </w:p>
    <w:p w14:paraId="67A7B4A6" w14:textId="77777777" w:rsidR="004E780F" w:rsidRPr="00536F60" w:rsidRDefault="004E780F" w:rsidP="004E780F">
      <w:pPr>
        <w:numPr>
          <w:ilvl w:val="0"/>
          <w:numId w:val="5"/>
        </w:numPr>
        <w:spacing w:after="0" w:line="240" w:lineRule="auto"/>
        <w:ind w:left="851"/>
        <w:jc w:val="both"/>
      </w:pPr>
      <w:r w:rsidRPr="00F35D57">
        <w:t>Is in some way related to the applicant, co-applicant</w:t>
      </w:r>
      <w:r>
        <w:t>, collaborator</w:t>
      </w:r>
      <w:r w:rsidRPr="00F35D57">
        <w:t xml:space="preserve"> or sponsors (where </w:t>
      </w:r>
      <w:r w:rsidRPr="00536F60">
        <w:t xml:space="preserve">applicable) at a personal or professional level </w:t>
      </w:r>
    </w:p>
    <w:p w14:paraId="27CA299C" w14:textId="18892945" w:rsidR="004E780F" w:rsidRPr="00536F60" w:rsidRDefault="004E780F" w:rsidP="004E780F">
      <w:pPr>
        <w:pStyle w:val="ListParagraph"/>
        <w:numPr>
          <w:ilvl w:val="0"/>
          <w:numId w:val="5"/>
        </w:numPr>
        <w:tabs>
          <w:tab w:val="left" w:pos="1134"/>
        </w:tabs>
        <w:spacing w:after="0" w:line="252" w:lineRule="auto"/>
        <w:ind w:left="851"/>
        <w:jc w:val="both"/>
      </w:pPr>
      <w:r w:rsidRPr="00536F60">
        <w:t>Is a former supervisor of the applicant, co-applicant, collaborator or sponsor</w:t>
      </w:r>
      <w:r w:rsidRPr="00536F60" w:rsidDel="00536F60">
        <w:t xml:space="preserve"> </w:t>
      </w:r>
      <w:r w:rsidRPr="00536F60">
        <w:rPr>
          <w:rFonts w:eastAsia="Times New Roman"/>
        </w:rPr>
        <w:t xml:space="preserve">(up to </w:t>
      </w:r>
      <w:r>
        <w:rPr>
          <w:rFonts w:eastAsia="Times New Roman"/>
        </w:rPr>
        <w:t>5</w:t>
      </w:r>
      <w:r w:rsidRPr="00536F60">
        <w:rPr>
          <w:rFonts w:eastAsia="Times New Roman"/>
        </w:rPr>
        <w:t xml:space="preserve"> years </w:t>
      </w:r>
      <w:proofErr w:type="gramStart"/>
      <w:r w:rsidRPr="00536F60">
        <w:rPr>
          <w:rFonts w:eastAsia="Times New Roman"/>
        </w:rPr>
        <w:t>previously)</w:t>
      </w:r>
      <w:proofErr w:type="gramEnd"/>
    </w:p>
    <w:p w14:paraId="6B5B3A4D" w14:textId="77777777" w:rsidR="004E780F" w:rsidRDefault="004E780F" w:rsidP="004E780F">
      <w:pPr>
        <w:pStyle w:val="ListParagraph"/>
        <w:numPr>
          <w:ilvl w:val="0"/>
          <w:numId w:val="5"/>
        </w:numPr>
        <w:tabs>
          <w:tab w:val="left" w:pos="1134"/>
        </w:tabs>
        <w:spacing w:after="0" w:line="252" w:lineRule="auto"/>
        <w:ind w:left="851"/>
        <w:jc w:val="both"/>
        <w:rPr>
          <w:rFonts w:eastAsia="Times New Roman"/>
        </w:rPr>
      </w:pPr>
      <w:r w:rsidRPr="00536F60">
        <w:rPr>
          <w:rFonts w:eastAsia="Times New Roman"/>
        </w:rPr>
        <w:t xml:space="preserve">Is a collaborator of the applicant </w:t>
      </w:r>
      <w:bookmarkStart w:id="4" w:name="_Hlk12348081"/>
      <w:r w:rsidRPr="00536F60">
        <w:rPr>
          <w:rFonts w:eastAsia="Times New Roman"/>
        </w:rPr>
        <w:t xml:space="preserve">(up to </w:t>
      </w:r>
      <w:r>
        <w:rPr>
          <w:rFonts w:eastAsia="Times New Roman"/>
        </w:rPr>
        <w:t>5</w:t>
      </w:r>
      <w:r w:rsidRPr="00536F60">
        <w:rPr>
          <w:rFonts w:eastAsia="Times New Roman"/>
        </w:rPr>
        <w:t xml:space="preserve"> years </w:t>
      </w:r>
      <w:proofErr w:type="gramStart"/>
      <w:r w:rsidRPr="00536F60">
        <w:rPr>
          <w:rFonts w:eastAsia="Times New Roman"/>
        </w:rPr>
        <w:t>previously)</w:t>
      </w:r>
      <w:bookmarkEnd w:id="4"/>
      <w:r w:rsidRPr="00536F60">
        <w:rPr>
          <w:rFonts w:eastAsia="Times New Roman"/>
        </w:rPr>
        <w:t>.</w:t>
      </w:r>
      <w:proofErr w:type="gramEnd"/>
      <w:r w:rsidRPr="00536F60">
        <w:rPr>
          <w:rFonts w:eastAsia="Times New Roman"/>
        </w:rPr>
        <w:t xml:space="preserve"> There </w:t>
      </w:r>
      <w:r w:rsidRPr="00536F60">
        <w:rPr>
          <w:rFonts w:eastAsia="Times New Roman"/>
          <w:bCs/>
          <w:u w:val="single"/>
        </w:rPr>
        <w:t>may</w:t>
      </w:r>
      <w:r w:rsidRPr="00536F60">
        <w:rPr>
          <w:rFonts w:eastAsia="Times New Roman"/>
        </w:rPr>
        <w:t xml:space="preserve"> be exceptions in the case of joint publications from large collaborative teams/consortia where neither reviewer nor applicant, co-applicant or sponsor were the senior or corresponding author</w:t>
      </w:r>
    </w:p>
    <w:p w14:paraId="4A78C1E9" w14:textId="0125E94A" w:rsidR="00E321A9" w:rsidRDefault="004E780F" w:rsidP="004E780F">
      <w:pPr>
        <w:pStyle w:val="ListParagraph"/>
        <w:numPr>
          <w:ilvl w:val="0"/>
          <w:numId w:val="5"/>
        </w:numPr>
        <w:tabs>
          <w:tab w:val="left" w:pos="1134"/>
        </w:tabs>
        <w:spacing w:after="0" w:line="252" w:lineRule="auto"/>
        <w:ind w:left="851"/>
        <w:jc w:val="both"/>
        <w:rPr>
          <w:rFonts w:eastAsia="Times New Roman"/>
        </w:rPr>
      </w:pPr>
      <w:r>
        <w:rPr>
          <w:rFonts w:eastAsia="Times New Roman"/>
        </w:rPr>
        <w:t>Is an employee in the same School of a</w:t>
      </w:r>
      <w:r w:rsidR="00E321A9">
        <w:rPr>
          <w:rFonts w:eastAsia="Times New Roman"/>
        </w:rPr>
        <w:t xml:space="preserve"> university or </w:t>
      </w:r>
      <w:proofErr w:type="gramStart"/>
      <w:r w:rsidR="00E321A9">
        <w:rPr>
          <w:rFonts w:eastAsia="Times New Roman"/>
        </w:rPr>
        <w:t>equivalent</w:t>
      </w:r>
      <w:proofErr w:type="gramEnd"/>
      <w:r w:rsidR="00E321A9">
        <w:rPr>
          <w:rFonts w:eastAsia="Times New Roman"/>
        </w:rPr>
        <w:t xml:space="preserve"> </w:t>
      </w:r>
    </w:p>
    <w:p w14:paraId="13EDE725" w14:textId="77777777" w:rsidR="0052416E" w:rsidRDefault="00E321A9" w:rsidP="004E780F">
      <w:pPr>
        <w:pStyle w:val="ListParagraph"/>
        <w:numPr>
          <w:ilvl w:val="0"/>
          <w:numId w:val="5"/>
        </w:numPr>
        <w:tabs>
          <w:tab w:val="left" w:pos="1134"/>
        </w:tabs>
        <w:spacing w:after="0" w:line="252" w:lineRule="auto"/>
        <w:ind w:left="851"/>
        <w:jc w:val="both"/>
        <w:rPr>
          <w:rFonts w:eastAsia="Times New Roman"/>
        </w:rPr>
      </w:pPr>
      <w:r>
        <w:rPr>
          <w:rFonts w:eastAsia="Times New Roman"/>
        </w:rPr>
        <w:t>For research office staff, where the application comes from the same institution</w:t>
      </w:r>
    </w:p>
    <w:p w14:paraId="3F62FA90" w14:textId="7656DF9B" w:rsidR="00BD0A9A" w:rsidRDefault="00BD0A9A" w:rsidP="00D60649">
      <w:pPr>
        <w:jc w:val="both"/>
        <w:rPr>
          <w:lang w:val="en-GB"/>
        </w:rPr>
      </w:pPr>
    </w:p>
    <w:p w14:paraId="7DCD4740" w14:textId="47334B86" w:rsidR="0052416E" w:rsidRDefault="0052416E" w:rsidP="00D60649">
      <w:pPr>
        <w:jc w:val="both"/>
        <w:rPr>
          <w:lang w:val="en-GB"/>
        </w:rPr>
      </w:pPr>
      <w:r w:rsidRPr="009B468E">
        <w:rPr>
          <w:rFonts w:ascii="Calibri" w:hAnsi="Calibri" w:cs="Calibri"/>
        </w:rPr>
        <w:t xml:space="preserve">A </w:t>
      </w:r>
      <w:r w:rsidRPr="009B468E">
        <w:rPr>
          <w:rFonts w:ascii="Calibri" w:hAnsi="Calibri" w:cs="Calibri"/>
          <w:u w:val="single"/>
        </w:rPr>
        <w:t>potential conflict of interest</w:t>
      </w:r>
      <w:r w:rsidRPr="009B468E">
        <w:rPr>
          <w:rFonts w:ascii="Calibri" w:hAnsi="Calibri" w:cs="Calibri"/>
        </w:rPr>
        <w:t xml:space="preserve"> may exist in some cases</w:t>
      </w:r>
      <w:r>
        <w:rPr>
          <w:rFonts w:ascii="Calibri" w:hAnsi="Calibri" w:cs="Calibri"/>
        </w:rPr>
        <w:t xml:space="preserve"> that</w:t>
      </w:r>
      <w:r w:rsidRPr="009B468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are</w:t>
      </w:r>
      <w:r w:rsidRPr="009B468E">
        <w:rPr>
          <w:rFonts w:ascii="Calibri" w:hAnsi="Calibri" w:cs="Calibri"/>
        </w:rPr>
        <w:t xml:space="preserve"> not covered by the disqualifying conflict of interest rules indicated above.</w:t>
      </w:r>
    </w:p>
    <w:p w14:paraId="081EDB32" w14:textId="2861377A" w:rsidR="0052416E" w:rsidRDefault="0052416E" w:rsidP="00D60649">
      <w:pPr>
        <w:jc w:val="both"/>
        <w:rPr>
          <w:lang w:val="en-GB"/>
        </w:rPr>
      </w:pPr>
      <w:r>
        <w:rPr>
          <w:lang w:val="en-GB"/>
        </w:rPr>
        <w:t>In these instances the observer will leave the room for the duration of the discussion of the application where the conflict of interest applies.</w:t>
      </w:r>
    </w:p>
    <w:p w14:paraId="53333403" w14:textId="77777777" w:rsidR="006E3428" w:rsidRDefault="006E3428" w:rsidP="00D60649">
      <w:pPr>
        <w:jc w:val="both"/>
        <w:rPr>
          <w:lang w:val="en-GB"/>
        </w:rPr>
      </w:pPr>
    </w:p>
    <w:p w14:paraId="6E5F3ECA" w14:textId="77777777" w:rsidR="006E3428" w:rsidRDefault="006E3428" w:rsidP="00D60649">
      <w:pPr>
        <w:jc w:val="both"/>
        <w:rPr>
          <w:lang w:val="en-GB"/>
        </w:rPr>
      </w:pPr>
      <w:r>
        <w:rPr>
          <w:lang w:val="en-GB"/>
        </w:rPr>
        <w:t>Anne Cody</w:t>
      </w:r>
    </w:p>
    <w:p w14:paraId="56F8B435" w14:textId="132ED217" w:rsidR="006E3428" w:rsidRPr="00A64A0B" w:rsidRDefault="0091052F" w:rsidP="00D60649">
      <w:pPr>
        <w:jc w:val="both"/>
        <w:rPr>
          <w:lang w:val="en-GB"/>
        </w:rPr>
      </w:pPr>
      <w:r>
        <w:rPr>
          <w:lang w:val="en-GB"/>
        </w:rPr>
        <w:t>2/8</w:t>
      </w:r>
      <w:r w:rsidR="006E3428">
        <w:rPr>
          <w:lang w:val="en-GB"/>
        </w:rPr>
        <w:t>/2019</w:t>
      </w:r>
    </w:p>
    <w:sectPr w:rsidR="006E3428" w:rsidRPr="00A64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C2101"/>
    <w:multiLevelType w:val="hybridMultilevel"/>
    <w:tmpl w:val="99CEFA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C6A9A"/>
    <w:multiLevelType w:val="hybridMultilevel"/>
    <w:tmpl w:val="C518E0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62C02"/>
    <w:multiLevelType w:val="multilevel"/>
    <w:tmpl w:val="1492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75488"/>
    <w:multiLevelType w:val="hybridMultilevel"/>
    <w:tmpl w:val="40B00F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A6B18"/>
    <w:multiLevelType w:val="hybridMultilevel"/>
    <w:tmpl w:val="A6661C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F5FED"/>
    <w:multiLevelType w:val="multilevel"/>
    <w:tmpl w:val="92CAC1BA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624"/>
        </w:tabs>
        <w:ind w:left="6624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282083"/>
    <w:multiLevelType w:val="hybridMultilevel"/>
    <w:tmpl w:val="115409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47"/>
    <w:rsid w:val="00024097"/>
    <w:rsid w:val="00027FB0"/>
    <w:rsid w:val="00032F47"/>
    <w:rsid w:val="000577AC"/>
    <w:rsid w:val="00061DF9"/>
    <w:rsid w:val="000C248D"/>
    <w:rsid w:val="000E4508"/>
    <w:rsid w:val="000F45AC"/>
    <w:rsid w:val="001309FE"/>
    <w:rsid w:val="001471EB"/>
    <w:rsid w:val="00207318"/>
    <w:rsid w:val="00211D8D"/>
    <w:rsid w:val="00267C1F"/>
    <w:rsid w:val="002816AC"/>
    <w:rsid w:val="002876FC"/>
    <w:rsid w:val="002B05A4"/>
    <w:rsid w:val="002B74C0"/>
    <w:rsid w:val="002C6B66"/>
    <w:rsid w:val="00301897"/>
    <w:rsid w:val="00305D3F"/>
    <w:rsid w:val="00336C71"/>
    <w:rsid w:val="00336E34"/>
    <w:rsid w:val="00363566"/>
    <w:rsid w:val="003B5B8F"/>
    <w:rsid w:val="003C3D2D"/>
    <w:rsid w:val="003E1EE5"/>
    <w:rsid w:val="00401001"/>
    <w:rsid w:val="004051B6"/>
    <w:rsid w:val="0040748F"/>
    <w:rsid w:val="00427D49"/>
    <w:rsid w:val="00476F4F"/>
    <w:rsid w:val="004B71D9"/>
    <w:rsid w:val="004E780F"/>
    <w:rsid w:val="00511645"/>
    <w:rsid w:val="00512781"/>
    <w:rsid w:val="0052416E"/>
    <w:rsid w:val="00576A55"/>
    <w:rsid w:val="005D3375"/>
    <w:rsid w:val="005D5E36"/>
    <w:rsid w:val="005E1507"/>
    <w:rsid w:val="00623821"/>
    <w:rsid w:val="00654964"/>
    <w:rsid w:val="00683C09"/>
    <w:rsid w:val="006A1FCC"/>
    <w:rsid w:val="006A454A"/>
    <w:rsid w:val="006C72B8"/>
    <w:rsid w:val="006E3428"/>
    <w:rsid w:val="0071148C"/>
    <w:rsid w:val="00745F97"/>
    <w:rsid w:val="00766F52"/>
    <w:rsid w:val="007838FD"/>
    <w:rsid w:val="007956DD"/>
    <w:rsid w:val="007B56F7"/>
    <w:rsid w:val="00830BB7"/>
    <w:rsid w:val="00867CA8"/>
    <w:rsid w:val="00872408"/>
    <w:rsid w:val="0091052F"/>
    <w:rsid w:val="00912B82"/>
    <w:rsid w:val="00976406"/>
    <w:rsid w:val="009C1447"/>
    <w:rsid w:val="009E4BD2"/>
    <w:rsid w:val="009F1F6C"/>
    <w:rsid w:val="00A069CB"/>
    <w:rsid w:val="00A63823"/>
    <w:rsid w:val="00A64A0B"/>
    <w:rsid w:val="00A97201"/>
    <w:rsid w:val="00AE2832"/>
    <w:rsid w:val="00B13065"/>
    <w:rsid w:val="00BB7309"/>
    <w:rsid w:val="00BD0A9A"/>
    <w:rsid w:val="00C22A02"/>
    <w:rsid w:val="00C26D6E"/>
    <w:rsid w:val="00CA3106"/>
    <w:rsid w:val="00CB28B2"/>
    <w:rsid w:val="00CC3C21"/>
    <w:rsid w:val="00CD3A0E"/>
    <w:rsid w:val="00D60649"/>
    <w:rsid w:val="00D90459"/>
    <w:rsid w:val="00DC11E9"/>
    <w:rsid w:val="00E06C67"/>
    <w:rsid w:val="00E17573"/>
    <w:rsid w:val="00E321A9"/>
    <w:rsid w:val="00EF5322"/>
    <w:rsid w:val="00FC32F4"/>
    <w:rsid w:val="00FE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CD2A"/>
  <w15:chartTrackingRefBased/>
  <w15:docId w15:val="{406AFAA0-835D-4E32-8471-CD8EAE3A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A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A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40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6A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76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8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0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6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6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5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1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3016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4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BB8DA-5A68-49E9-9F3E-087FBCE7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1203</Words>
  <Characters>6862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Cody</dc:creator>
  <cp:keywords/>
  <dc:description/>
  <cp:lastModifiedBy>Brian Cummins</cp:lastModifiedBy>
  <cp:revision>2</cp:revision>
  <dcterms:created xsi:type="dcterms:W3CDTF">2019-08-07T16:46:00Z</dcterms:created>
  <dcterms:modified xsi:type="dcterms:W3CDTF">2019-08-07T16:46:00Z</dcterms:modified>
</cp:coreProperties>
</file>