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67FC" w14:textId="61ED0128" w:rsidR="008060E2" w:rsidRDefault="00FF74E8" w:rsidP="00B87A7F">
      <w:pPr>
        <w:pStyle w:val="HRBFirstPagetitle"/>
      </w:pPr>
      <w:r>
        <w:drawing>
          <wp:anchor distT="0" distB="0" distL="114300" distR="114300" simplePos="0" relativeHeight="251658240"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11"/>
                    <a:stretch>
                      <a:fillRect/>
                    </a:stretch>
                  </pic:blipFill>
                  <pic:spPr>
                    <a:xfrm>
                      <a:off x="0" y="0"/>
                      <a:ext cx="1256665" cy="1259840"/>
                    </a:xfrm>
                    <a:prstGeom prst="rect">
                      <a:avLst/>
                    </a:prstGeom>
                  </pic:spPr>
                </pic:pic>
              </a:graphicData>
            </a:graphic>
          </wp:anchor>
        </w:drawing>
      </w:r>
    </w:p>
    <w:p w14:paraId="4343137F" w14:textId="2AD6E660" w:rsidR="00494F12" w:rsidRPr="00B87A7F" w:rsidRDefault="00A33482" w:rsidP="00494F12">
      <w:pPr>
        <w:pStyle w:val="HRBFirstPagetitle"/>
      </w:pPr>
      <w:bookmarkStart w:id="0" w:name="_Toc25484477"/>
      <w:bookmarkStart w:id="1" w:name="_Toc25490853"/>
      <w:r>
        <w:t>No-</w:t>
      </w:r>
      <w:r w:rsidR="00260C1B">
        <w:t>C</w:t>
      </w:r>
      <w:r>
        <w:t>ost Extensions Policy</w:t>
      </w:r>
    </w:p>
    <w:p w14:paraId="7A5E2C9E" w14:textId="77777777" w:rsidR="00274D12" w:rsidRDefault="00274D12" w:rsidP="00274D12">
      <w:pPr>
        <w:pStyle w:val="HRBHeadingL4"/>
        <w:rPr>
          <w:sz w:val="28"/>
          <w:szCs w:val="28"/>
        </w:rPr>
      </w:pPr>
    </w:p>
    <w:p w14:paraId="140B42C3" w14:textId="71559AD6" w:rsidR="00651249" w:rsidRDefault="00651249" w:rsidP="00274D12">
      <w:pPr>
        <w:pStyle w:val="HRBHeadingL4"/>
        <w:rPr>
          <w:sz w:val="28"/>
          <w:szCs w:val="28"/>
        </w:rPr>
      </w:pPr>
      <w:r w:rsidRPr="00CF4D33">
        <w:rPr>
          <w:sz w:val="28"/>
          <w:szCs w:val="28"/>
        </w:rPr>
        <w:t xml:space="preserve">Version </w:t>
      </w:r>
      <w:r w:rsidR="00A33482">
        <w:rPr>
          <w:sz w:val="28"/>
          <w:szCs w:val="28"/>
        </w:rPr>
        <w:t>4</w:t>
      </w:r>
      <w:r w:rsidRPr="00CF4D33">
        <w:rPr>
          <w:sz w:val="28"/>
          <w:szCs w:val="28"/>
        </w:rPr>
        <w:t>.0</w:t>
      </w:r>
      <w:r>
        <w:rPr>
          <w:sz w:val="28"/>
          <w:szCs w:val="28"/>
        </w:rPr>
        <w:t xml:space="preserve"> </w:t>
      </w:r>
    </w:p>
    <w:p w14:paraId="6C8CF4B8" w14:textId="365E5D95" w:rsidR="00274D12" w:rsidRPr="000E4C82" w:rsidRDefault="00511D0F" w:rsidP="00274D12">
      <w:pPr>
        <w:pStyle w:val="HRBHeadingL4"/>
        <w:rPr>
          <w:sz w:val="28"/>
          <w:szCs w:val="28"/>
        </w:rPr>
      </w:pPr>
      <w:r w:rsidRPr="00A33482">
        <w:rPr>
          <w:sz w:val="28"/>
          <w:szCs w:val="28"/>
          <w:highlight w:val="yellow"/>
        </w:rPr>
        <w:t>DATE TBC</w:t>
      </w:r>
    </w:p>
    <w:p w14:paraId="40A98A76" w14:textId="77777777" w:rsidR="00BD1E43" w:rsidRPr="00F67555" w:rsidRDefault="00BD1E43" w:rsidP="00BD1E43"/>
    <w:p w14:paraId="4331AEE7" w14:textId="77777777" w:rsidR="00BD1E43" w:rsidRDefault="00BD1E43" w:rsidP="00BD1E43">
      <w:pPr>
        <w:pStyle w:val="HRBNOTEXTyellowline"/>
      </w:pPr>
    </w:p>
    <w:p w14:paraId="566A098E" w14:textId="57AE69D7" w:rsidR="00950712" w:rsidRPr="000E4C82" w:rsidRDefault="00950712" w:rsidP="00950712">
      <w:pPr>
        <w:pStyle w:val="HRBHeadingL4"/>
        <w:rPr>
          <w:sz w:val="28"/>
          <w:szCs w:val="28"/>
        </w:rPr>
      </w:pPr>
      <w:r w:rsidRPr="000E4C82">
        <w:rPr>
          <w:sz w:val="28"/>
          <w:szCs w:val="28"/>
        </w:rPr>
        <w:t>Purpose</w:t>
      </w:r>
    </w:p>
    <w:p w14:paraId="06FAE0DA" w14:textId="2FFB4FB3" w:rsidR="00A33482" w:rsidRDefault="00A33482" w:rsidP="00A33482">
      <w:pPr>
        <w:jc w:val="both"/>
      </w:pPr>
      <w:r w:rsidRPr="00B95E42">
        <w:t xml:space="preserve">The need may arise to extend the </w:t>
      </w:r>
      <w:r>
        <w:t>End Date</w:t>
      </w:r>
      <w:r w:rsidRPr="00B95E42">
        <w:t xml:space="preserve"> of an award. It is the policy of the HRB to facilitate such an extension to the </w:t>
      </w:r>
      <w:r>
        <w:t>Grant</w:t>
      </w:r>
      <w:r w:rsidRPr="00B95E42">
        <w:t xml:space="preserve"> where it is satisfied that such an action will ensure the completion of the funded project according to the agreed budget, objectives and deliverables for that project</w:t>
      </w:r>
      <w:r>
        <w:rPr>
          <w:rStyle w:val="FootnoteReference"/>
          <w:sz w:val="22"/>
        </w:rPr>
        <w:footnoteReference w:id="2"/>
      </w:r>
      <w:r w:rsidRPr="00B95E42">
        <w:t xml:space="preserve">. </w:t>
      </w:r>
    </w:p>
    <w:p w14:paraId="5B63847D" w14:textId="1E188D40" w:rsidR="00BD1E43" w:rsidRDefault="00BD1E43" w:rsidP="00BD1E43">
      <w:pPr>
        <w:pStyle w:val="HRBNOTEXTyellowline"/>
      </w:pPr>
    </w:p>
    <w:p w14:paraId="4BE9B0AC" w14:textId="4F8211DB" w:rsidR="00416F1E" w:rsidRDefault="00617D7C" w:rsidP="00416F1E">
      <w:pPr>
        <w:pStyle w:val="HRBHeadingL4"/>
        <w:rPr>
          <w:sz w:val="28"/>
          <w:szCs w:val="28"/>
        </w:rPr>
      </w:pPr>
      <w:bookmarkStart w:id="2" w:name="_Hlk106973101"/>
      <w:r>
        <w:rPr>
          <w:sz w:val="28"/>
          <w:szCs w:val="28"/>
        </w:rPr>
        <w:t>Policy</w:t>
      </w:r>
      <w:r w:rsidR="00950712" w:rsidRPr="000E4C82">
        <w:rPr>
          <w:sz w:val="28"/>
          <w:szCs w:val="28"/>
        </w:rPr>
        <w:t xml:space="preserve"> </w:t>
      </w:r>
      <w:bookmarkEnd w:id="0"/>
      <w:bookmarkEnd w:id="1"/>
      <w:bookmarkEnd w:id="2"/>
    </w:p>
    <w:p w14:paraId="3E3480F2" w14:textId="63804BD2" w:rsidR="00916C70" w:rsidRPr="00A36148" w:rsidRDefault="00916C70" w:rsidP="003C3E12">
      <w:pPr>
        <w:pStyle w:val="ListParagraph"/>
        <w:numPr>
          <w:ilvl w:val="0"/>
          <w:numId w:val="15"/>
        </w:numPr>
      </w:pPr>
      <w:r w:rsidRPr="00A36148">
        <w:t xml:space="preserve">The HRB may approve a request to extend the duration of an active HRB Award for a maximum period of 12 months beyond the End Date specified in the Grant Letter. Exceptions to this 12-month maximum extension period will be allowed in cases of long-term illness and maternity or adoptive leave, where this is set out within the Special Terms and Conditions of an award. In other exceptional circumstances, exceptions to the maximum period are at the discretion of the HRB and require prior approval. </w:t>
      </w:r>
    </w:p>
    <w:p w14:paraId="5C86EF22" w14:textId="6DCD9138" w:rsidR="00916C70" w:rsidRPr="00A36148" w:rsidRDefault="00916C70" w:rsidP="00A36148">
      <w:pPr>
        <w:pStyle w:val="ListParagraph"/>
        <w:numPr>
          <w:ilvl w:val="0"/>
          <w:numId w:val="15"/>
        </w:numPr>
      </w:pPr>
      <w:r w:rsidRPr="00A36148">
        <w:t xml:space="preserve">A request for a no-cost extension must be made in writing by the Host Institution (HI), on the form provided (Grant Amendment Form), </w:t>
      </w:r>
      <w:r w:rsidRPr="00183D37">
        <w:rPr>
          <w:b/>
          <w:bCs/>
        </w:rPr>
        <w:t xml:space="preserve">not less than </w:t>
      </w:r>
      <w:r w:rsidR="00617D7C" w:rsidRPr="00183D37">
        <w:rPr>
          <w:b/>
          <w:bCs/>
        </w:rPr>
        <w:t>three</w:t>
      </w:r>
      <w:r w:rsidRPr="00183D37">
        <w:rPr>
          <w:b/>
          <w:bCs/>
        </w:rPr>
        <w:t xml:space="preserve"> months</w:t>
      </w:r>
      <w:r w:rsidRPr="00A36148">
        <w:t xml:space="preserve"> before the agreed End Date. Failure to provide timely notification to the HRB shall result in disapproval of a request or delays in processing the request. </w:t>
      </w:r>
    </w:p>
    <w:p w14:paraId="32D518D9" w14:textId="2C9DE509" w:rsidR="00916C70" w:rsidRPr="00A36148" w:rsidRDefault="00916C70" w:rsidP="003C3E12">
      <w:pPr>
        <w:pStyle w:val="ListParagraph"/>
        <w:numPr>
          <w:ilvl w:val="0"/>
          <w:numId w:val="15"/>
        </w:numPr>
      </w:pPr>
      <w:r w:rsidRPr="00A36148">
        <w:t xml:space="preserve">In making a request for a no-cost extension, the HI must provide justification and must assure the HRB that the no-cost extension is required to ensure completion of the previously agreed project within the funds already made available. </w:t>
      </w:r>
    </w:p>
    <w:p w14:paraId="342718EC" w14:textId="77777777" w:rsidR="00916C70" w:rsidRPr="00A36148" w:rsidRDefault="00916C70" w:rsidP="003C3E12">
      <w:pPr>
        <w:pStyle w:val="ListParagraph"/>
        <w:numPr>
          <w:ilvl w:val="0"/>
          <w:numId w:val="15"/>
        </w:numPr>
      </w:pPr>
      <w:r w:rsidRPr="00A36148">
        <w:t>The no-cost extension must in no way impact on the agreed budget, objectives and deliverables of the project and the budget will not be re-costed to accommodate the extension.</w:t>
      </w:r>
    </w:p>
    <w:p w14:paraId="5AF3D246" w14:textId="77777777" w:rsidR="00916C70" w:rsidRPr="00A36148" w:rsidRDefault="00916C70" w:rsidP="003C3E12">
      <w:pPr>
        <w:pStyle w:val="ListParagraph"/>
        <w:numPr>
          <w:ilvl w:val="0"/>
          <w:numId w:val="15"/>
        </w:numPr>
      </w:pPr>
      <w:r w:rsidRPr="00A36148">
        <w:t xml:space="preserve">When no-cost extensions are requested, it is the responsibility of the HI to ensure that all co-applicants and collaborators on the grant are aware of any new timelines and that work on the Grant is coordinated accordingly. </w:t>
      </w:r>
    </w:p>
    <w:p w14:paraId="389CDAC5" w14:textId="77777777" w:rsidR="006F59D4" w:rsidRPr="00B95E42" w:rsidRDefault="006F59D4" w:rsidP="006F59D4">
      <w:pPr>
        <w:pStyle w:val="ListParagraph"/>
        <w:numPr>
          <w:ilvl w:val="0"/>
          <w:numId w:val="15"/>
        </w:numPr>
        <w:jc w:val="both"/>
      </w:pPr>
      <w:r w:rsidRPr="00B95E42">
        <w:t xml:space="preserve">In the knowledge that HRB will accept the request to grant a </w:t>
      </w:r>
      <w:r>
        <w:t>N</w:t>
      </w:r>
      <w:r w:rsidRPr="00B95E42">
        <w:t>o</w:t>
      </w:r>
      <w:r>
        <w:t>-C</w:t>
      </w:r>
      <w:r w:rsidRPr="00B95E42">
        <w:t xml:space="preserve">ost </w:t>
      </w:r>
      <w:r>
        <w:t>E</w:t>
      </w:r>
      <w:r w:rsidRPr="00B95E42">
        <w:t xml:space="preserve">xtension of up to 12 months for the reasons outlined in this policy, HRB would ask that these requests are not submitted early </w:t>
      </w:r>
      <w:r w:rsidRPr="00B95E42">
        <w:lastRenderedPageBreak/>
        <w:t xml:space="preserve">in the grant lifetime to avoid the administrative burden associated with preparing and processing multiple grant amendment requests.  </w:t>
      </w:r>
    </w:p>
    <w:p w14:paraId="4497DC1E" w14:textId="59EF827F" w:rsidR="00812AE1" w:rsidRPr="00A36148" w:rsidRDefault="00812AE1" w:rsidP="003C3E12">
      <w:pPr>
        <w:pStyle w:val="ListParagraph"/>
        <w:numPr>
          <w:ilvl w:val="0"/>
          <w:numId w:val="15"/>
        </w:numPr>
      </w:pPr>
      <w:r w:rsidRPr="00A36148">
        <w:t xml:space="preserve">As of 2024, HRB requests that Grant holders apply for no-cost extensions for the reasons below </w:t>
      </w:r>
      <w:r w:rsidRPr="00183D37">
        <w:rPr>
          <w:b/>
          <w:bCs/>
        </w:rPr>
        <w:t>no earlier than 12 months and no later than three months</w:t>
      </w:r>
      <w:r w:rsidRPr="00A36148">
        <w:t xml:space="preserve"> before the original End Date</w:t>
      </w:r>
      <w:r w:rsidR="00634763">
        <w:t xml:space="preserve">, </w:t>
      </w:r>
      <w:r w:rsidR="00634763" w:rsidRPr="00A36148">
        <w:t>provided the overall budget, objectives and deliverables are not impacted, and provided that a request for a NCE is made in writing by the Host Institution (HI), on the form provided (Grant Amendment Form), by the required deadline.</w:t>
      </w:r>
      <w:r w:rsidRPr="00A36148">
        <w:t xml:space="preserve">  </w:t>
      </w:r>
    </w:p>
    <w:p w14:paraId="1E538DAC" w14:textId="72DC51B2" w:rsidR="00812AE1" w:rsidRPr="00A36148" w:rsidRDefault="00812AE1" w:rsidP="003C3E12">
      <w:pPr>
        <w:ind w:left="428"/>
      </w:pPr>
      <w:r w:rsidRPr="00A36148">
        <w:t xml:space="preserve">No-cost extensions (NCE) of up to 12 months will be granted for reasons including: </w:t>
      </w:r>
    </w:p>
    <w:p w14:paraId="066ECE50" w14:textId="77777777" w:rsidR="00812AE1" w:rsidRPr="00A36148" w:rsidRDefault="00812AE1" w:rsidP="003C3E12">
      <w:pPr>
        <w:pStyle w:val="ListParagraph"/>
        <w:numPr>
          <w:ilvl w:val="0"/>
          <w:numId w:val="16"/>
        </w:numPr>
      </w:pPr>
      <w:r w:rsidRPr="00A36148">
        <w:t xml:space="preserve">Delays in receiving ethical or regulatory approvals. </w:t>
      </w:r>
    </w:p>
    <w:p w14:paraId="63ED89D5" w14:textId="77777777" w:rsidR="00812AE1" w:rsidRPr="00A36148" w:rsidRDefault="00812AE1" w:rsidP="003C3E12">
      <w:pPr>
        <w:pStyle w:val="ListParagraph"/>
        <w:numPr>
          <w:ilvl w:val="0"/>
          <w:numId w:val="16"/>
        </w:numPr>
      </w:pPr>
      <w:r w:rsidRPr="00A36148">
        <w:t xml:space="preserve">Patient/participant recruitment delays. </w:t>
      </w:r>
    </w:p>
    <w:p w14:paraId="2ACDA81E" w14:textId="77777777" w:rsidR="00812AE1" w:rsidRDefault="00812AE1" w:rsidP="003C3E12">
      <w:pPr>
        <w:pStyle w:val="ListParagraph"/>
        <w:numPr>
          <w:ilvl w:val="0"/>
          <w:numId w:val="16"/>
        </w:numPr>
      </w:pPr>
      <w:r w:rsidRPr="00A36148">
        <w:t xml:space="preserve">Staff, including PhD candidates, recruitment delays (where multiple key posts are not all activated at the same time) or gaps occur during the grant (for example a postdoc leaving). </w:t>
      </w:r>
    </w:p>
    <w:p w14:paraId="7321D2B1" w14:textId="2EDA79E8" w:rsidR="00C50E34" w:rsidRPr="00A36148" w:rsidRDefault="00C50E34" w:rsidP="003C3E12">
      <w:pPr>
        <w:pStyle w:val="ListParagraph"/>
        <w:numPr>
          <w:ilvl w:val="0"/>
          <w:numId w:val="16"/>
        </w:numPr>
      </w:pPr>
      <w:r>
        <w:t>Periods of statutory leave</w:t>
      </w:r>
      <w:r w:rsidR="00F21116">
        <w:t xml:space="preserve"> for the Grant Holder</w:t>
      </w:r>
      <w:r>
        <w:t>, in accordance with our Payment of Social Benefits Policy.</w:t>
      </w:r>
    </w:p>
    <w:p w14:paraId="2EB7446A" w14:textId="77777777" w:rsidR="00812AE1" w:rsidRPr="00A36148" w:rsidRDefault="00812AE1" w:rsidP="003C3E12">
      <w:pPr>
        <w:pStyle w:val="ListParagraph"/>
        <w:numPr>
          <w:ilvl w:val="0"/>
          <w:numId w:val="16"/>
        </w:numPr>
      </w:pPr>
      <w:r w:rsidRPr="00A36148">
        <w:t xml:space="preserve">Original research objectives not yet achieved. </w:t>
      </w:r>
    </w:p>
    <w:p w14:paraId="47C87538" w14:textId="77777777" w:rsidR="00812AE1" w:rsidRPr="00A36148" w:rsidRDefault="00812AE1" w:rsidP="003C3E12">
      <w:pPr>
        <w:pStyle w:val="ListParagraph"/>
        <w:numPr>
          <w:ilvl w:val="0"/>
          <w:numId w:val="16"/>
        </w:numPr>
      </w:pPr>
      <w:r w:rsidRPr="00A36148">
        <w:t xml:space="preserve">To facilitate open access publications from the grant activities. </w:t>
      </w:r>
    </w:p>
    <w:p w14:paraId="7045AF98" w14:textId="77777777" w:rsidR="00812AE1" w:rsidRPr="00A36148" w:rsidRDefault="00812AE1" w:rsidP="003C3E12">
      <w:pPr>
        <w:pStyle w:val="ListParagraph"/>
        <w:numPr>
          <w:ilvl w:val="0"/>
          <w:numId w:val="16"/>
        </w:numPr>
      </w:pPr>
      <w:r w:rsidRPr="00A36148">
        <w:t>To facilitate dissemination foreseen as part of the grant funded activities.</w:t>
      </w:r>
    </w:p>
    <w:p w14:paraId="709852AA" w14:textId="55902500" w:rsidR="00812AE1" w:rsidRPr="00A36148" w:rsidRDefault="00812AE1" w:rsidP="00A36148">
      <w:pPr>
        <w:pStyle w:val="ListParagraph"/>
        <w:numPr>
          <w:ilvl w:val="0"/>
          <w:numId w:val="16"/>
        </w:numPr>
      </w:pPr>
      <w:r w:rsidRPr="00A36148">
        <w:t xml:space="preserve">Facilities being shut down/refurbished or research site changes. </w:t>
      </w:r>
    </w:p>
    <w:p w14:paraId="0806FE72" w14:textId="77777777" w:rsidR="00457833" w:rsidRDefault="00457833" w:rsidP="003C3E12">
      <w:pPr>
        <w:pStyle w:val="ListParagraph"/>
        <w:ind w:left="428"/>
      </w:pPr>
    </w:p>
    <w:p w14:paraId="56D6BEA4" w14:textId="117CBEB4" w:rsidR="00916C70" w:rsidRDefault="00812AE1" w:rsidP="003C3E12">
      <w:pPr>
        <w:pStyle w:val="ListParagraph"/>
        <w:ind w:left="428"/>
      </w:pPr>
      <w:r w:rsidRPr="00A36148">
        <w:t xml:space="preserve">Other NCEs may be granted at the discretion of the HRB following submission of a </w:t>
      </w:r>
      <w:r w:rsidR="00E347D4">
        <w:t xml:space="preserve">timely </w:t>
      </w:r>
      <w:r w:rsidRPr="00A36148">
        <w:t>written request.</w:t>
      </w:r>
    </w:p>
    <w:p w14:paraId="00B64232" w14:textId="5F9F7BED" w:rsidR="00916C70" w:rsidRPr="003C3E12" w:rsidRDefault="00A701F7" w:rsidP="003C3E12">
      <w:pPr>
        <w:pStyle w:val="ListParagraph"/>
        <w:numPr>
          <w:ilvl w:val="0"/>
          <w:numId w:val="15"/>
        </w:numPr>
        <w:rPr>
          <w:lang w:val="en-GB"/>
        </w:rPr>
      </w:pPr>
      <w:r>
        <w:t>As of 2024, i</w:t>
      </w:r>
      <w:r w:rsidR="00916C70" w:rsidRPr="00A36148">
        <w:t xml:space="preserve">n cases where delays in staff, including PhD candidates, recruitment will require an extension to the grant, and where Host Institutions are required to issue a contract of employment that goes beyond the original End Date of the HRB grant, a HRB Programme Manager can issue a </w:t>
      </w:r>
      <w:r w:rsidR="00916C70" w:rsidRPr="00A701F7">
        <w:rPr>
          <w:b/>
          <w:bCs/>
        </w:rPr>
        <w:t>Letter of Comfort</w:t>
      </w:r>
      <w:r w:rsidR="00916C70" w:rsidRPr="00A36148">
        <w:t>, confirming that a NCE will be approved</w:t>
      </w:r>
      <w:r w:rsidR="00457833">
        <w:t>,</w:t>
      </w:r>
      <w:r w:rsidR="00916C70" w:rsidRPr="00A36148">
        <w:t xml:space="preserve"> provided the Host Institution submit an NCE request to the HRB no later than </w:t>
      </w:r>
      <w:r w:rsidR="00416F1E" w:rsidRPr="00A36148">
        <w:t>three</w:t>
      </w:r>
      <w:r w:rsidR="00916C70" w:rsidRPr="00A36148">
        <w:t xml:space="preserve"> months prior to the End Date.  </w:t>
      </w:r>
    </w:p>
    <w:p w14:paraId="53C04066" w14:textId="77777777" w:rsidR="002A75F3" w:rsidRPr="00A36148" w:rsidRDefault="002A75F3" w:rsidP="003C3E12">
      <w:pPr>
        <w:pStyle w:val="ListParagraph"/>
        <w:numPr>
          <w:ilvl w:val="0"/>
          <w:numId w:val="15"/>
        </w:numPr>
      </w:pPr>
      <w:r w:rsidRPr="00A36148">
        <w:t>The HRB will not process any variation requests which are submitted after the end date of the grant. In such cases, all HRB funding remaining unspent at the end date of the grant must be returned to the HRB.</w:t>
      </w:r>
    </w:p>
    <w:p w14:paraId="7C513DE4" w14:textId="77777777" w:rsidR="002A75F3" w:rsidRPr="007A087E" w:rsidRDefault="002A75F3" w:rsidP="002A75F3">
      <w:pPr>
        <w:spacing w:after="0" w:line="240" w:lineRule="auto"/>
        <w:ind w:left="360"/>
        <w:jc w:val="both"/>
        <w:rPr>
          <w:rFonts w:cs="Times New Roman"/>
          <w:lang w:val="en-GB"/>
        </w:rPr>
      </w:pPr>
    </w:p>
    <w:p w14:paraId="5034F0CC" w14:textId="31DC8280" w:rsidR="00832395" w:rsidRDefault="00832395" w:rsidP="005A7C0F">
      <w:pPr>
        <w:pStyle w:val="HRBHeadingL4"/>
        <w:rPr>
          <w:sz w:val="28"/>
          <w:szCs w:val="28"/>
        </w:rPr>
      </w:pPr>
      <w:r>
        <w:rPr>
          <w:sz w:val="28"/>
          <w:szCs w:val="28"/>
        </w:rPr>
        <w:t>Process</w:t>
      </w:r>
      <w:r w:rsidR="00994FD2">
        <w:rPr>
          <w:sz w:val="28"/>
          <w:szCs w:val="28"/>
        </w:rPr>
        <w:t xml:space="preserve"> and documentation required</w:t>
      </w:r>
    </w:p>
    <w:p w14:paraId="7E40B6D6" w14:textId="3E6014C6" w:rsidR="00832395" w:rsidRPr="00B44131" w:rsidRDefault="003C3E12" w:rsidP="00832395">
      <w:pPr>
        <w:jc w:val="both"/>
        <w:rPr>
          <w:b/>
        </w:rPr>
      </w:pPr>
      <w:r>
        <w:rPr>
          <w:b/>
        </w:rPr>
        <w:t>A)</w:t>
      </w:r>
      <w:r w:rsidR="00832395">
        <w:rPr>
          <w:b/>
        </w:rPr>
        <w:t xml:space="preserve"> </w:t>
      </w:r>
      <w:r>
        <w:rPr>
          <w:b/>
        </w:rPr>
        <w:t>R</w:t>
      </w:r>
      <w:r w:rsidR="00832395">
        <w:rPr>
          <w:b/>
        </w:rPr>
        <w:t xml:space="preserve">equest for </w:t>
      </w:r>
      <w:r w:rsidR="00260C1B">
        <w:rPr>
          <w:b/>
        </w:rPr>
        <w:t>N</w:t>
      </w:r>
      <w:r w:rsidR="00832395">
        <w:rPr>
          <w:b/>
        </w:rPr>
        <w:t>o-</w:t>
      </w:r>
      <w:r w:rsidR="00260C1B">
        <w:rPr>
          <w:b/>
        </w:rPr>
        <w:t>C</w:t>
      </w:r>
      <w:r w:rsidR="00832395">
        <w:rPr>
          <w:b/>
        </w:rPr>
        <w:t xml:space="preserve">ost </w:t>
      </w:r>
      <w:r w:rsidR="00260C1B">
        <w:rPr>
          <w:b/>
        </w:rPr>
        <w:t>E</w:t>
      </w:r>
      <w:r w:rsidR="00832395">
        <w:rPr>
          <w:b/>
        </w:rPr>
        <w:t>xtension</w:t>
      </w:r>
    </w:p>
    <w:p w14:paraId="5C79C647" w14:textId="7D42C5DC" w:rsidR="00832395" w:rsidRPr="00B44131" w:rsidRDefault="00832395" w:rsidP="00832395">
      <w:pPr>
        <w:jc w:val="both"/>
      </w:pPr>
      <w:r w:rsidRPr="00B44131">
        <w:t>The following process and documentation is required in order to formally effect a no-cost extension of a HRB Research Award:</w:t>
      </w:r>
    </w:p>
    <w:p w14:paraId="46B8778C" w14:textId="77777777" w:rsidR="00832395" w:rsidRPr="00B44131" w:rsidRDefault="00832395" w:rsidP="00832395">
      <w:pPr>
        <w:jc w:val="both"/>
      </w:pPr>
      <w:r w:rsidRPr="00B44131">
        <w:t>The Host Institution must return a completed No-Cost Extension Form</w:t>
      </w:r>
      <w:r w:rsidRPr="00B44131" w:rsidDel="00E37093">
        <w:t xml:space="preserve"> </w:t>
      </w:r>
      <w:r w:rsidRPr="00B44131">
        <w:t xml:space="preserve">to the HRB Research Strategy and Funding Directorate. </w:t>
      </w:r>
    </w:p>
    <w:p w14:paraId="2DCF02F6" w14:textId="77777777" w:rsidR="00832395" w:rsidRPr="00B44131" w:rsidRDefault="00832395" w:rsidP="00207C44">
      <w:pPr>
        <w:numPr>
          <w:ilvl w:val="0"/>
          <w:numId w:val="6"/>
        </w:numPr>
        <w:spacing w:after="0" w:line="240" w:lineRule="auto"/>
        <w:jc w:val="both"/>
      </w:pPr>
      <w:r w:rsidRPr="00B44131">
        <w:t>The HI must address the following in the No-Cost Extension Form:</w:t>
      </w:r>
    </w:p>
    <w:p w14:paraId="79B16DAE" w14:textId="3E9502F1" w:rsidR="00832395" w:rsidRPr="00B44131" w:rsidRDefault="00832395" w:rsidP="00F22AC4">
      <w:pPr>
        <w:numPr>
          <w:ilvl w:val="0"/>
          <w:numId w:val="12"/>
        </w:numPr>
        <w:spacing w:after="0" w:line="240" w:lineRule="auto"/>
        <w:jc w:val="both"/>
      </w:pPr>
      <w:r w:rsidRPr="00B44131">
        <w:t>the reasons for the proposed no-cost extension(s) and the award(s) involved in the request</w:t>
      </w:r>
      <w:r w:rsidR="003B7336">
        <w:t>.</w:t>
      </w:r>
      <w:r w:rsidRPr="00B44131">
        <w:t xml:space="preserve"> </w:t>
      </w:r>
    </w:p>
    <w:p w14:paraId="26C9B602" w14:textId="3E93D032" w:rsidR="00832395" w:rsidRPr="00B44131" w:rsidRDefault="00832395" w:rsidP="00F22AC4">
      <w:pPr>
        <w:numPr>
          <w:ilvl w:val="0"/>
          <w:numId w:val="12"/>
        </w:numPr>
        <w:spacing w:after="0" w:line="240" w:lineRule="auto"/>
        <w:jc w:val="both"/>
      </w:pPr>
      <w:r w:rsidRPr="00B44131">
        <w:lastRenderedPageBreak/>
        <w:t>assurance that there will be no significant changes to the agreed work programme(s), objectives or deliverables, and that the necessary infrastructure and supports will continue to be available to complete the work</w:t>
      </w:r>
      <w:r w:rsidR="003B7336">
        <w:t>.</w:t>
      </w:r>
    </w:p>
    <w:p w14:paraId="23581FB4" w14:textId="77777777" w:rsidR="00832395" w:rsidRPr="009535CD" w:rsidRDefault="00832395" w:rsidP="00F22AC4">
      <w:pPr>
        <w:numPr>
          <w:ilvl w:val="0"/>
          <w:numId w:val="12"/>
        </w:numPr>
        <w:spacing w:after="0" w:line="240" w:lineRule="auto"/>
        <w:jc w:val="both"/>
      </w:pPr>
      <w:r w:rsidRPr="00B44131">
        <w:t>where changes to animal licences, ethics or any other approvals are involved as a result of the no-cost extension, details should be provided on the form.</w:t>
      </w:r>
    </w:p>
    <w:p w14:paraId="06C4FFFB" w14:textId="77777777" w:rsidR="00832395" w:rsidRPr="009535CD" w:rsidRDefault="00832395" w:rsidP="00207C44">
      <w:pPr>
        <w:numPr>
          <w:ilvl w:val="0"/>
          <w:numId w:val="8"/>
        </w:numPr>
        <w:spacing w:after="0" w:line="240" w:lineRule="auto"/>
        <w:jc w:val="both"/>
      </w:pPr>
      <w:r w:rsidRPr="00B44131">
        <w:t>The HRB may request additional information as necessary to accomplish its review of the request. Receipt of a request from the HI does not in itself guarantee approval of a no-cost extension.</w:t>
      </w:r>
    </w:p>
    <w:p w14:paraId="4E9CED84" w14:textId="77777777" w:rsidR="00832395" w:rsidRPr="007A087E" w:rsidRDefault="00832395" w:rsidP="00207C44">
      <w:pPr>
        <w:numPr>
          <w:ilvl w:val="0"/>
          <w:numId w:val="8"/>
        </w:numPr>
        <w:spacing w:after="0" w:line="240" w:lineRule="auto"/>
        <w:jc w:val="both"/>
      </w:pPr>
      <w:r w:rsidRPr="009535CD">
        <w:t xml:space="preserve">Completed request form should be sent to:   </w:t>
      </w:r>
      <w:hyperlink r:id="rId12" w:history="1">
        <w:r w:rsidRPr="009535CD">
          <w:rPr>
            <w:rStyle w:val="Hyperlink"/>
            <w:b/>
          </w:rPr>
          <w:t>grantchanges@hrb.ie</w:t>
        </w:r>
      </w:hyperlink>
    </w:p>
    <w:p w14:paraId="7550B6AB" w14:textId="77777777" w:rsidR="00832395" w:rsidRDefault="00832395" w:rsidP="00832395">
      <w:pPr>
        <w:jc w:val="both"/>
        <w:rPr>
          <w:b/>
        </w:rPr>
      </w:pPr>
    </w:p>
    <w:p w14:paraId="347CB688" w14:textId="53FDDE9C" w:rsidR="00832395" w:rsidRPr="00B44131" w:rsidRDefault="003C3E12" w:rsidP="00832395">
      <w:pPr>
        <w:jc w:val="both"/>
        <w:rPr>
          <w:b/>
        </w:rPr>
      </w:pPr>
      <w:r>
        <w:rPr>
          <w:b/>
        </w:rPr>
        <w:t>B)</w:t>
      </w:r>
      <w:r w:rsidR="00832395">
        <w:rPr>
          <w:b/>
        </w:rPr>
        <w:t xml:space="preserve"> </w:t>
      </w:r>
      <w:r>
        <w:rPr>
          <w:b/>
        </w:rPr>
        <w:t>R</w:t>
      </w:r>
      <w:r w:rsidR="00832395">
        <w:rPr>
          <w:b/>
        </w:rPr>
        <w:t>equest for Letter of Comfort</w:t>
      </w:r>
    </w:p>
    <w:p w14:paraId="2F73555A" w14:textId="77777777" w:rsidR="00832395" w:rsidRDefault="00832395" w:rsidP="00832395">
      <w:pPr>
        <w:jc w:val="both"/>
      </w:pPr>
      <w:r w:rsidRPr="00B44131">
        <w:t xml:space="preserve">The following process and documentation </w:t>
      </w:r>
      <w:r>
        <w:t>are</w:t>
      </w:r>
      <w:r w:rsidRPr="00B44131">
        <w:t xml:space="preserve"> required </w:t>
      </w:r>
      <w:r>
        <w:t xml:space="preserve">to request a Letter of Comfort from the HRB. </w:t>
      </w:r>
    </w:p>
    <w:p w14:paraId="769E1E48" w14:textId="77777777" w:rsidR="00832395" w:rsidRDefault="00832395" w:rsidP="00F22AC4">
      <w:pPr>
        <w:pStyle w:val="ListParagraph"/>
        <w:numPr>
          <w:ilvl w:val="0"/>
          <w:numId w:val="13"/>
        </w:numPr>
        <w:jc w:val="both"/>
      </w:pPr>
      <w:r>
        <w:t>The HI must email the HRB with the following information:</w:t>
      </w:r>
    </w:p>
    <w:p w14:paraId="2AFCA007" w14:textId="77777777" w:rsidR="00832395" w:rsidRDefault="00832395" w:rsidP="00207C44">
      <w:pPr>
        <w:numPr>
          <w:ilvl w:val="0"/>
          <w:numId w:val="9"/>
        </w:numPr>
        <w:spacing w:after="0" w:line="240" w:lineRule="auto"/>
        <w:jc w:val="both"/>
      </w:pPr>
      <w:r>
        <w:t>Grant reference number and PI.</w:t>
      </w:r>
    </w:p>
    <w:p w14:paraId="3893E75D" w14:textId="595F4D37" w:rsidR="00832395" w:rsidRDefault="00BA02B8" w:rsidP="00207C44">
      <w:pPr>
        <w:numPr>
          <w:ilvl w:val="0"/>
          <w:numId w:val="9"/>
        </w:numPr>
        <w:spacing w:after="0" w:line="240" w:lineRule="auto"/>
        <w:jc w:val="both"/>
      </w:pPr>
      <w:r>
        <w:t xml:space="preserve">type </w:t>
      </w:r>
      <w:r w:rsidR="00832395">
        <w:t xml:space="preserve">of delay that has occurred, e.g. staff or student recruitment delays, or gaps in staffing. </w:t>
      </w:r>
    </w:p>
    <w:p w14:paraId="1D1FA4D1" w14:textId="38222294" w:rsidR="00832395" w:rsidRDefault="00BA02B8" w:rsidP="00207C44">
      <w:pPr>
        <w:numPr>
          <w:ilvl w:val="0"/>
          <w:numId w:val="9"/>
        </w:numPr>
        <w:spacing w:after="0" w:line="240" w:lineRule="auto"/>
        <w:jc w:val="both"/>
      </w:pPr>
      <w:r>
        <w:t>n</w:t>
      </w:r>
      <w:r w:rsidR="00832395">
        <w:t xml:space="preserve">otification of extension period that will be required due to this delay. </w:t>
      </w:r>
    </w:p>
    <w:p w14:paraId="6202AB15" w14:textId="10955B50" w:rsidR="00832395" w:rsidRPr="00B44131" w:rsidRDefault="00BA02B8" w:rsidP="00207C44">
      <w:pPr>
        <w:numPr>
          <w:ilvl w:val="0"/>
          <w:numId w:val="9"/>
        </w:numPr>
        <w:spacing w:after="0" w:line="240" w:lineRule="auto"/>
        <w:jc w:val="both"/>
      </w:pPr>
      <w:r>
        <w:t>a</w:t>
      </w:r>
      <w:r w:rsidR="00832395" w:rsidRPr="00B44131">
        <w:t>ssurance that there will be no significant changes to the agreed work programme(s), objectives or deliverables, and that the necessary infrastructure and supports will continue to be available to complete the work</w:t>
      </w:r>
      <w:r w:rsidR="00832395">
        <w:t>.</w:t>
      </w:r>
    </w:p>
    <w:p w14:paraId="1B6A3792" w14:textId="77777777" w:rsidR="00832395" w:rsidRPr="009535CD" w:rsidRDefault="00832395" w:rsidP="00207C44">
      <w:pPr>
        <w:numPr>
          <w:ilvl w:val="0"/>
          <w:numId w:val="9"/>
        </w:numPr>
        <w:spacing w:after="0" w:line="240" w:lineRule="auto"/>
        <w:jc w:val="both"/>
      </w:pPr>
      <w:r w:rsidRPr="00B44131">
        <w:t xml:space="preserve">where changes to animal licences, ethics or any other approvals are involved as a result of the no-cost extension, details should be provided </w:t>
      </w:r>
      <w:r>
        <w:t>in the email</w:t>
      </w:r>
      <w:r w:rsidRPr="00B44131">
        <w:t>.</w:t>
      </w:r>
    </w:p>
    <w:p w14:paraId="54E2A7F1" w14:textId="77777777" w:rsidR="00832395" w:rsidRDefault="00832395" w:rsidP="00832395">
      <w:pPr>
        <w:jc w:val="both"/>
      </w:pPr>
    </w:p>
    <w:p w14:paraId="1651A278" w14:textId="77777777" w:rsidR="00832395" w:rsidRPr="009535CD" w:rsidRDefault="00832395" w:rsidP="00994FD2">
      <w:pPr>
        <w:numPr>
          <w:ilvl w:val="0"/>
          <w:numId w:val="14"/>
        </w:numPr>
        <w:spacing w:after="0" w:line="240" w:lineRule="auto"/>
        <w:jc w:val="both"/>
      </w:pPr>
      <w:r w:rsidRPr="00B44131">
        <w:t xml:space="preserve">The HRB may request additional information as necessary to accomplish its review of the request. Receipt of a request from the HI does not in itself guarantee </w:t>
      </w:r>
      <w:r>
        <w:t>issue of a Letter of Comfort.</w:t>
      </w:r>
    </w:p>
    <w:p w14:paraId="54D287DF" w14:textId="77777777" w:rsidR="00832395" w:rsidRPr="002F7ADA" w:rsidRDefault="00832395" w:rsidP="00994FD2">
      <w:pPr>
        <w:numPr>
          <w:ilvl w:val="0"/>
          <w:numId w:val="14"/>
        </w:numPr>
        <w:spacing w:after="0" w:line="240" w:lineRule="auto"/>
        <w:jc w:val="both"/>
        <w:rPr>
          <w:bCs/>
        </w:rPr>
      </w:pPr>
      <w:r>
        <w:t>Emails</w:t>
      </w:r>
      <w:r w:rsidRPr="009535CD">
        <w:t xml:space="preserve"> should be sent to:   </w:t>
      </w:r>
      <w:hyperlink r:id="rId13" w:history="1">
        <w:r w:rsidRPr="009535CD">
          <w:rPr>
            <w:rStyle w:val="Hyperlink"/>
            <w:b/>
          </w:rPr>
          <w:t>grantchanges@hrb.ie</w:t>
        </w:r>
      </w:hyperlink>
      <w:r>
        <w:rPr>
          <w:b/>
        </w:rPr>
        <w:t xml:space="preserve">, </w:t>
      </w:r>
      <w:r w:rsidRPr="007A087E">
        <w:rPr>
          <w:bCs/>
        </w:rPr>
        <w:t>with the following subject line: Letter of Comfort request: GRANTREF</w:t>
      </w:r>
    </w:p>
    <w:p w14:paraId="2BB34B48" w14:textId="77777777" w:rsidR="00832395" w:rsidRPr="00B44131" w:rsidRDefault="00832395" w:rsidP="00832395">
      <w:pPr>
        <w:jc w:val="both"/>
      </w:pPr>
    </w:p>
    <w:p w14:paraId="2D5673F2" w14:textId="68AAC608" w:rsidR="00E70313" w:rsidRDefault="00E70313" w:rsidP="005A7C0F">
      <w:pPr>
        <w:shd w:val="clear" w:color="auto" w:fill="FDFDFD"/>
        <w:spacing w:before="100" w:beforeAutospacing="1" w:after="100" w:afterAutospacing="1"/>
        <w:rPr>
          <w:rFonts w:eastAsia="Times New Roman" w:cstheme="minorHAnsi"/>
          <w:lang w:eastAsia="en-IE"/>
        </w:rPr>
      </w:pPr>
    </w:p>
    <w:p w14:paraId="7A7C06CE" w14:textId="031E0E3E" w:rsidR="00E70313" w:rsidRDefault="00E70313" w:rsidP="005A7C0F">
      <w:pPr>
        <w:shd w:val="clear" w:color="auto" w:fill="FDFDFD"/>
        <w:spacing w:before="100" w:beforeAutospacing="1" w:after="100" w:afterAutospacing="1"/>
        <w:rPr>
          <w:rFonts w:eastAsia="Times New Roman" w:cstheme="minorHAnsi"/>
          <w:lang w:eastAsia="en-IE"/>
        </w:rPr>
      </w:pPr>
    </w:p>
    <w:p w14:paraId="33150850" w14:textId="48ECA9D9" w:rsidR="00E70313" w:rsidRDefault="00E70313" w:rsidP="005A7C0F">
      <w:pPr>
        <w:shd w:val="clear" w:color="auto" w:fill="FDFDFD"/>
        <w:spacing w:before="100" w:beforeAutospacing="1" w:after="100" w:afterAutospacing="1"/>
        <w:rPr>
          <w:rFonts w:eastAsia="Times New Roman" w:cstheme="minorHAnsi"/>
          <w:lang w:eastAsia="en-IE"/>
        </w:rPr>
      </w:pPr>
    </w:p>
    <w:p w14:paraId="3A3CD0EF" w14:textId="4A283844" w:rsidR="00E70313" w:rsidRDefault="00E70313" w:rsidP="005A7C0F">
      <w:pPr>
        <w:shd w:val="clear" w:color="auto" w:fill="FDFDFD"/>
        <w:spacing w:before="100" w:beforeAutospacing="1" w:after="100" w:afterAutospacing="1"/>
        <w:rPr>
          <w:rFonts w:eastAsia="Times New Roman" w:cstheme="minorHAnsi"/>
          <w:lang w:eastAsia="en-IE"/>
        </w:rPr>
      </w:pPr>
    </w:p>
    <w:p w14:paraId="04036192" w14:textId="10C2E1DA" w:rsidR="00E70313" w:rsidRDefault="00E70313" w:rsidP="005A7C0F">
      <w:pPr>
        <w:shd w:val="clear" w:color="auto" w:fill="FDFDFD"/>
        <w:spacing w:before="100" w:beforeAutospacing="1" w:after="100" w:afterAutospacing="1"/>
        <w:rPr>
          <w:rFonts w:eastAsia="Times New Roman" w:cstheme="minorHAnsi"/>
          <w:lang w:eastAsia="en-IE"/>
        </w:rPr>
      </w:pPr>
    </w:p>
    <w:p w14:paraId="1F5F2A6F" w14:textId="20EBADAE" w:rsidR="00E70313" w:rsidRDefault="00E70313" w:rsidP="005A7C0F">
      <w:pPr>
        <w:shd w:val="clear" w:color="auto" w:fill="FDFDFD"/>
        <w:spacing w:before="100" w:beforeAutospacing="1" w:after="100" w:afterAutospacing="1"/>
        <w:rPr>
          <w:rFonts w:eastAsia="Times New Roman" w:cstheme="minorHAnsi"/>
          <w:lang w:eastAsia="en-IE"/>
        </w:rPr>
      </w:pPr>
    </w:p>
    <w:p w14:paraId="7A8F60C9" w14:textId="6980EE5C" w:rsidR="00E70313" w:rsidRDefault="00E70313" w:rsidP="005A7C0F">
      <w:pPr>
        <w:shd w:val="clear" w:color="auto" w:fill="FDFDFD"/>
        <w:spacing w:before="100" w:beforeAutospacing="1" w:after="100" w:afterAutospacing="1"/>
        <w:rPr>
          <w:rFonts w:eastAsia="Times New Roman" w:cstheme="minorHAnsi"/>
          <w:lang w:eastAsia="en-IE"/>
        </w:rPr>
      </w:pPr>
    </w:p>
    <w:p w14:paraId="6E8509FF" w14:textId="77777777" w:rsidR="00DD5AF5" w:rsidRDefault="00DD5AF5" w:rsidP="005A7C0F">
      <w:pPr>
        <w:shd w:val="clear" w:color="auto" w:fill="FDFDFD"/>
        <w:spacing w:before="100" w:beforeAutospacing="1" w:after="100" w:afterAutospacing="1"/>
        <w:rPr>
          <w:rFonts w:eastAsia="Times New Roman" w:cstheme="minorHAnsi"/>
          <w:lang w:eastAsia="en-IE"/>
        </w:rPr>
      </w:pPr>
    </w:p>
    <w:p w14:paraId="2B8C15E0" w14:textId="77777777" w:rsidR="00E70313" w:rsidRDefault="00E70313" w:rsidP="005A7C0F">
      <w:pPr>
        <w:shd w:val="clear" w:color="auto" w:fill="FDFDFD"/>
        <w:spacing w:before="100" w:beforeAutospacing="1" w:after="100" w:afterAutospacing="1"/>
        <w:rPr>
          <w:rFonts w:eastAsia="Times New Roman" w:cstheme="minorHAnsi"/>
          <w:lang w:eastAsia="en-IE"/>
        </w:rPr>
      </w:pPr>
    </w:p>
    <w:p w14:paraId="29799702" w14:textId="77777777" w:rsidR="0009237C" w:rsidRPr="008E5E25" w:rsidRDefault="0009237C" w:rsidP="0009237C">
      <w:pPr>
        <w:pStyle w:val="Heading1"/>
      </w:pPr>
      <w:r w:rsidRPr="008E5E25">
        <w:lastRenderedPageBreak/>
        <w:t>Version Control Sheet (VCS)</w:t>
      </w:r>
    </w:p>
    <w:p w14:paraId="38A2F474" w14:textId="77777777" w:rsidR="0009237C" w:rsidRDefault="0009237C" w:rsidP="0009237C">
      <w:pPr>
        <w:jc w:val="right"/>
      </w:pPr>
      <w:r>
        <w:rPr>
          <w:noProof/>
        </w:rPr>
        <w:drawing>
          <wp:inline distT="0" distB="0" distL="0" distR="0" wp14:anchorId="662E843C" wp14:editId="2193EB55">
            <wp:extent cx="937260" cy="350520"/>
            <wp:effectExtent l="0" t="0" r="0" b="0"/>
            <wp:docPr id="9" name="Picture 9" descr="cid:image003.jpg@01D43AEC.538A6A60"/>
            <wp:cNvGraphicFramePr/>
            <a:graphic xmlns:a="http://schemas.openxmlformats.org/drawingml/2006/main">
              <a:graphicData uri="http://schemas.openxmlformats.org/drawingml/2006/picture">
                <pic:pic xmlns:pic="http://schemas.openxmlformats.org/drawingml/2006/picture">
                  <pic:nvPicPr>
                    <pic:cNvPr id="1" name="Picture 2" descr="cid:image003.jpg@01D43AEC.538A6A6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p>
    <w:p w14:paraId="3A15FFE0" w14:textId="77777777" w:rsidR="00207C44" w:rsidRDefault="00207C44" w:rsidP="0009237C">
      <w:pPr>
        <w:jc w:val="right"/>
      </w:pPr>
    </w:p>
    <w:p w14:paraId="7902DE26" w14:textId="77777777" w:rsidR="00207C44" w:rsidRDefault="00207C44" w:rsidP="0009237C">
      <w:pPr>
        <w:jc w:val="right"/>
      </w:pPr>
    </w:p>
    <w:p w14:paraId="7905A682" w14:textId="77777777" w:rsidR="00207C44" w:rsidRDefault="00207C44" w:rsidP="0009237C">
      <w:pPr>
        <w:jc w:val="right"/>
      </w:pPr>
    </w:p>
    <w:p w14:paraId="73D33E89" w14:textId="77777777" w:rsidR="00207C44" w:rsidRDefault="00207C44" w:rsidP="00207C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207C44" w14:paraId="48846376" w14:textId="77777777" w:rsidTr="007A087E">
        <w:tc>
          <w:tcPr>
            <w:tcW w:w="3256" w:type="dxa"/>
            <w:shd w:val="clear" w:color="auto" w:fill="17479E"/>
          </w:tcPr>
          <w:p w14:paraId="0A130FEC" w14:textId="77777777" w:rsidR="00207C44" w:rsidRPr="00FD0348" w:rsidRDefault="00207C44" w:rsidP="007A087E">
            <w:pPr>
              <w:pStyle w:val="HRBHeadingintableWhite"/>
              <w:rPr>
                <w:b/>
              </w:rPr>
            </w:pPr>
          </w:p>
          <w:p w14:paraId="185697D8" w14:textId="77777777" w:rsidR="00207C44" w:rsidRPr="00FD0348" w:rsidRDefault="00207C44" w:rsidP="007A087E">
            <w:pPr>
              <w:pStyle w:val="HRBHeadingintableWhite"/>
              <w:rPr>
                <w:b/>
              </w:rPr>
            </w:pPr>
            <w:r w:rsidRPr="00FD0348">
              <w:rPr>
                <w:b/>
              </w:rPr>
              <w:t>Policy Title</w:t>
            </w:r>
          </w:p>
          <w:p w14:paraId="4D0BFB68" w14:textId="77777777" w:rsidR="00207C44" w:rsidRPr="00FD0348" w:rsidRDefault="00207C44" w:rsidP="007A087E">
            <w:pPr>
              <w:pStyle w:val="HRBHeadingintableWhite"/>
              <w:rPr>
                <w:b/>
              </w:rPr>
            </w:pPr>
          </w:p>
        </w:tc>
        <w:tc>
          <w:tcPr>
            <w:tcW w:w="5760" w:type="dxa"/>
            <w:shd w:val="clear" w:color="auto" w:fill="17479E"/>
          </w:tcPr>
          <w:p w14:paraId="5FB898A0" w14:textId="77777777" w:rsidR="00207C44" w:rsidRPr="00FD0348" w:rsidRDefault="00207C44" w:rsidP="007A087E">
            <w:pPr>
              <w:pStyle w:val="HRBHeadingintableWhite"/>
              <w:rPr>
                <w:b/>
              </w:rPr>
            </w:pPr>
          </w:p>
          <w:p w14:paraId="47C415C8" w14:textId="77777777" w:rsidR="00207C44" w:rsidRPr="00213F4F" w:rsidRDefault="00207C44" w:rsidP="007A087E">
            <w:pPr>
              <w:pStyle w:val="HRBHeadingintableWhite"/>
            </w:pPr>
            <w:r w:rsidRPr="00FD0348">
              <w:rPr>
                <w:b/>
              </w:rPr>
              <w:t xml:space="preserve">HRB Policy </w:t>
            </w:r>
            <w:r>
              <w:rPr>
                <w:b/>
              </w:rPr>
              <w:t>on</w:t>
            </w:r>
            <w:r w:rsidRPr="00FD0348">
              <w:rPr>
                <w:b/>
              </w:rPr>
              <w:t xml:space="preserve"> No-Cost Extensions</w:t>
            </w:r>
            <w:r>
              <w:rPr>
                <w:b/>
              </w:rPr>
              <w:t xml:space="preserve"> to HRB Grants</w:t>
            </w:r>
          </w:p>
        </w:tc>
      </w:tr>
      <w:tr w:rsidR="00207C44" w14:paraId="754C566E" w14:textId="77777777" w:rsidTr="007A087E">
        <w:tc>
          <w:tcPr>
            <w:tcW w:w="3256" w:type="dxa"/>
            <w:shd w:val="clear" w:color="auto" w:fill="auto"/>
          </w:tcPr>
          <w:p w14:paraId="19E87C7D" w14:textId="77777777" w:rsidR="00207C44" w:rsidRPr="004F2D7E" w:rsidRDefault="00207C44" w:rsidP="007A087E">
            <w:pPr>
              <w:pStyle w:val="HRBTextinTableBlack"/>
            </w:pPr>
            <w:r w:rsidRPr="004F2D7E">
              <w:t>Policy Owner</w:t>
            </w:r>
          </w:p>
          <w:p w14:paraId="06FC79FE" w14:textId="77777777" w:rsidR="00207C44" w:rsidRPr="004F2D7E" w:rsidRDefault="00207C44" w:rsidP="007A087E">
            <w:pPr>
              <w:pStyle w:val="HRBTextinTableBlack"/>
            </w:pPr>
            <w:r w:rsidRPr="004F2D7E">
              <w:t>Name:</w:t>
            </w:r>
          </w:p>
          <w:p w14:paraId="1EE0A9B1" w14:textId="77777777" w:rsidR="00207C44" w:rsidRPr="004F2D7E" w:rsidRDefault="00207C44" w:rsidP="007A087E">
            <w:pPr>
              <w:pStyle w:val="HRBTextinTableBlack"/>
            </w:pPr>
            <w:r w:rsidRPr="004F2D7E">
              <w:t>Job Title:</w:t>
            </w:r>
          </w:p>
          <w:p w14:paraId="2BDAA96B" w14:textId="77777777" w:rsidR="00207C44" w:rsidRPr="004F2D7E" w:rsidRDefault="00207C44" w:rsidP="007A087E">
            <w:pPr>
              <w:pStyle w:val="HRBTextinTableBlack"/>
            </w:pPr>
          </w:p>
        </w:tc>
        <w:tc>
          <w:tcPr>
            <w:tcW w:w="5760" w:type="dxa"/>
            <w:shd w:val="clear" w:color="auto" w:fill="auto"/>
          </w:tcPr>
          <w:p w14:paraId="7EA23799" w14:textId="77777777" w:rsidR="00207C44" w:rsidRDefault="00207C44" w:rsidP="007A087E">
            <w:pPr>
              <w:pStyle w:val="HRBTextinTableBlack"/>
            </w:pPr>
          </w:p>
          <w:p w14:paraId="303BDE98" w14:textId="77777777" w:rsidR="00207C44" w:rsidRDefault="00207C44" w:rsidP="007A087E">
            <w:pPr>
              <w:pStyle w:val="HRBTextinTableBlack"/>
            </w:pPr>
            <w:r>
              <w:t>Caitriona Creely, Head of INCET</w:t>
            </w:r>
          </w:p>
          <w:p w14:paraId="03D74A5C" w14:textId="77777777" w:rsidR="00207C44" w:rsidRDefault="00207C44" w:rsidP="007A087E">
            <w:pPr>
              <w:pStyle w:val="HRBTextinTableBlack"/>
            </w:pPr>
          </w:p>
        </w:tc>
      </w:tr>
      <w:tr w:rsidR="00207C44" w14:paraId="7F3D7FB5" w14:textId="77777777" w:rsidTr="007A087E">
        <w:tc>
          <w:tcPr>
            <w:tcW w:w="3256" w:type="dxa"/>
            <w:shd w:val="clear" w:color="auto" w:fill="auto"/>
          </w:tcPr>
          <w:p w14:paraId="0C9C9DD8" w14:textId="77777777" w:rsidR="00207C44" w:rsidRPr="004F2D7E" w:rsidRDefault="00207C44" w:rsidP="007A087E">
            <w:pPr>
              <w:pStyle w:val="HRBTextinTableBlack"/>
            </w:pPr>
          </w:p>
          <w:p w14:paraId="6F601FE3" w14:textId="77777777" w:rsidR="00207C44" w:rsidRPr="004F2D7E" w:rsidRDefault="00207C44" w:rsidP="007A087E">
            <w:pPr>
              <w:pStyle w:val="HRBTextinTableBlack"/>
            </w:pPr>
            <w:r w:rsidRPr="004F2D7E">
              <w:t>Business Area:</w:t>
            </w:r>
          </w:p>
        </w:tc>
        <w:tc>
          <w:tcPr>
            <w:tcW w:w="5760" w:type="dxa"/>
            <w:shd w:val="clear" w:color="auto" w:fill="auto"/>
          </w:tcPr>
          <w:p w14:paraId="55B43F0D" w14:textId="77777777" w:rsidR="00207C44" w:rsidRDefault="00207C44" w:rsidP="007A087E">
            <w:pPr>
              <w:pStyle w:val="HRBTextinTableBlack"/>
            </w:pPr>
          </w:p>
          <w:p w14:paraId="7EE3ABA9" w14:textId="77777777" w:rsidR="00207C44" w:rsidRDefault="00207C44" w:rsidP="007A087E">
            <w:pPr>
              <w:pStyle w:val="HRBTextinTableBlack"/>
            </w:pPr>
            <w:r>
              <w:t>International Cooperation, Evaluation and Targeted Programmes</w:t>
            </w:r>
          </w:p>
        </w:tc>
      </w:tr>
      <w:tr w:rsidR="00207C44" w14:paraId="11BD87CD" w14:textId="77777777" w:rsidTr="007A087E">
        <w:tc>
          <w:tcPr>
            <w:tcW w:w="3256" w:type="dxa"/>
            <w:shd w:val="clear" w:color="auto" w:fill="auto"/>
          </w:tcPr>
          <w:p w14:paraId="755932C5" w14:textId="77777777" w:rsidR="00207C44" w:rsidRPr="004F2D7E" w:rsidRDefault="00207C44" w:rsidP="007A087E">
            <w:pPr>
              <w:pStyle w:val="HRBTextinTableBlack"/>
            </w:pPr>
            <w:r>
              <w:t>Date policy will take effect</w:t>
            </w:r>
          </w:p>
        </w:tc>
        <w:tc>
          <w:tcPr>
            <w:tcW w:w="5760" w:type="dxa"/>
            <w:shd w:val="clear" w:color="auto" w:fill="auto"/>
          </w:tcPr>
          <w:p w14:paraId="79FD9EAF" w14:textId="77777777" w:rsidR="00207C44" w:rsidRDefault="00207C44" w:rsidP="007A087E">
            <w:pPr>
              <w:pStyle w:val="HRBTextinTableBlack"/>
            </w:pPr>
            <w:r>
              <w:t xml:space="preserve"> </w:t>
            </w:r>
            <w:r w:rsidRPr="007A087E">
              <w:rPr>
                <w:highlight w:val="yellow"/>
              </w:rPr>
              <w:t>TBD APRIL 2024</w:t>
            </w:r>
            <w:r>
              <w:t xml:space="preserve"> </w:t>
            </w:r>
          </w:p>
        </w:tc>
      </w:tr>
    </w:tbl>
    <w:p w14:paraId="2F0F906D" w14:textId="77777777" w:rsidR="00207C44" w:rsidRDefault="00207C44" w:rsidP="00207C44">
      <w:pPr>
        <w:rPr>
          <w:b/>
        </w:rPr>
      </w:pPr>
    </w:p>
    <w:p w14:paraId="03246DFC" w14:textId="77777777" w:rsidR="00207C44" w:rsidRPr="00FD0348" w:rsidRDefault="00207C44" w:rsidP="00207C44">
      <w:pPr>
        <w:rPr>
          <w:rFonts w:cs="Calibri"/>
          <w:szCs w:val="28"/>
        </w:rPr>
      </w:pPr>
      <w:r w:rsidRPr="00FD0348">
        <w:rPr>
          <w:rFonts w:cs="Calibri"/>
          <w:b/>
          <w:szCs w:val="28"/>
        </w:rPr>
        <w:t>Is this policy to be published on any of the HRB’s websites?</w:t>
      </w:r>
      <w:r w:rsidRPr="00FD0348">
        <w:rPr>
          <w:rFonts w:cs="Calibri"/>
          <w:szCs w:val="28"/>
        </w:rPr>
        <w:tab/>
        <w:t>Yes</w:t>
      </w:r>
    </w:p>
    <w:p w14:paraId="279BFB7E" w14:textId="77777777" w:rsidR="00207C44" w:rsidRPr="00FD0348" w:rsidRDefault="00207C44" w:rsidP="00207C44">
      <w:pPr>
        <w:rPr>
          <w:rFonts w:cs="Calibri"/>
          <w:szCs w:val="28"/>
        </w:rPr>
      </w:pPr>
      <w:r w:rsidRPr="00FD0348">
        <w:rPr>
          <w:rFonts w:cs="Calibri"/>
          <w:b/>
          <w:bCs/>
          <w:szCs w:val="28"/>
        </w:rPr>
        <w:t>Reason for publication:</w:t>
      </w:r>
      <w:r w:rsidRPr="00FD0348">
        <w:rPr>
          <w:rFonts w:cs="Calibri"/>
          <w:szCs w:val="28"/>
        </w:rPr>
        <w:t xml:space="preserve"> </w:t>
      </w:r>
    </w:p>
    <w:p w14:paraId="260BEB4B" w14:textId="77777777" w:rsidR="00207C44" w:rsidRPr="00FD0348" w:rsidRDefault="00207C44" w:rsidP="00207C44">
      <w:pPr>
        <w:ind w:left="720"/>
        <w:rPr>
          <w:rFonts w:cs="Calibri"/>
          <w:szCs w:val="28"/>
        </w:rPr>
      </w:pPr>
      <w:r w:rsidRPr="00FD0348">
        <w:rPr>
          <w:rFonts w:cs="Calibri"/>
          <w:szCs w:val="28"/>
        </w:rPr>
        <w:sym w:font="Wingdings" w:char="F0FC"/>
      </w:r>
      <w:r w:rsidRPr="00FD0348">
        <w:rPr>
          <w:rFonts w:cs="Calibri"/>
          <w:szCs w:val="28"/>
        </w:rPr>
        <w:t xml:space="preserve"> Information for grant holders/applicants </w:t>
      </w:r>
    </w:p>
    <w:p w14:paraId="324E508C" w14:textId="77777777" w:rsidR="00207C44" w:rsidRPr="00FD0348" w:rsidRDefault="00207C44" w:rsidP="00207C44">
      <w:pPr>
        <w:ind w:left="720"/>
        <w:rPr>
          <w:rFonts w:cs="Calibri"/>
          <w:szCs w:val="28"/>
        </w:rPr>
      </w:pPr>
      <w:r w:rsidRPr="00FD0348">
        <w:rPr>
          <w:rFonts w:cs="Calibri"/>
          <w:szCs w:val="28"/>
        </w:rPr>
        <w:sym w:font="Symbol" w:char="F07F"/>
      </w:r>
      <w:r w:rsidRPr="00FD0348">
        <w:rPr>
          <w:rFonts w:cs="Calibri"/>
          <w:szCs w:val="28"/>
        </w:rPr>
        <w:t xml:space="preserve"> Requirement under legislation </w:t>
      </w:r>
    </w:p>
    <w:p w14:paraId="0174DC76" w14:textId="77777777" w:rsidR="00207C44" w:rsidRPr="00FD0348" w:rsidRDefault="00207C44" w:rsidP="00207C44">
      <w:pPr>
        <w:ind w:left="720"/>
        <w:rPr>
          <w:rFonts w:cs="Calibri"/>
          <w:szCs w:val="28"/>
        </w:rPr>
      </w:pPr>
      <w:r w:rsidRPr="00FD0348">
        <w:rPr>
          <w:rFonts w:cs="Calibri"/>
          <w:szCs w:val="28"/>
        </w:rPr>
        <w:sym w:font="Symbol" w:char="F07F"/>
      </w:r>
      <w:r w:rsidRPr="00FD0348">
        <w:rPr>
          <w:rFonts w:cs="Calibri"/>
          <w:szCs w:val="28"/>
        </w:rPr>
        <w:t xml:space="preserve"> Requirement under the Code of Practice for the Governance of State Bodies </w:t>
      </w:r>
    </w:p>
    <w:p w14:paraId="7B3A46EC" w14:textId="77777777" w:rsidR="00207C44" w:rsidRPr="00FD0348" w:rsidRDefault="00207C44" w:rsidP="00207C44">
      <w:pPr>
        <w:ind w:left="720"/>
        <w:rPr>
          <w:rFonts w:cs="Calibri"/>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229"/>
        <w:gridCol w:w="1469"/>
        <w:gridCol w:w="4697"/>
      </w:tblGrid>
      <w:tr w:rsidR="00207C44" w14:paraId="28E02068" w14:textId="77777777" w:rsidTr="007A087E">
        <w:tc>
          <w:tcPr>
            <w:tcW w:w="8613" w:type="dxa"/>
            <w:gridSpan w:val="4"/>
            <w:shd w:val="clear" w:color="auto" w:fill="D9E2F3"/>
          </w:tcPr>
          <w:p w14:paraId="05BFC473" w14:textId="77777777" w:rsidR="00207C44" w:rsidRPr="00FD0348" w:rsidRDefault="00207C44" w:rsidP="007A087E">
            <w:pPr>
              <w:jc w:val="center"/>
              <w:rPr>
                <w:rFonts w:eastAsia="MS Mincho" w:cs="Calibri"/>
                <w:szCs w:val="36"/>
              </w:rPr>
            </w:pPr>
            <w:r w:rsidRPr="00FD0348">
              <w:rPr>
                <w:rFonts w:eastAsia="MS Mincho" w:cs="Calibri"/>
                <w:b/>
                <w:szCs w:val="36"/>
              </w:rPr>
              <w:t>Website publication history</w:t>
            </w:r>
          </w:p>
        </w:tc>
      </w:tr>
      <w:tr w:rsidR="00207C44" w:rsidRPr="002E19EC" w14:paraId="06C065BD" w14:textId="77777777" w:rsidTr="007A087E">
        <w:tc>
          <w:tcPr>
            <w:tcW w:w="1125" w:type="dxa"/>
            <w:shd w:val="clear" w:color="auto" w:fill="auto"/>
          </w:tcPr>
          <w:p w14:paraId="39480B33" w14:textId="77777777" w:rsidR="00207C44" w:rsidRPr="00FD0348" w:rsidRDefault="00207C44" w:rsidP="007A087E">
            <w:pPr>
              <w:rPr>
                <w:rFonts w:eastAsia="MS Mincho" w:cs="Calibri"/>
                <w:b/>
                <w:szCs w:val="36"/>
              </w:rPr>
            </w:pPr>
            <w:r w:rsidRPr="00FD0348">
              <w:rPr>
                <w:rFonts w:eastAsia="MS Mincho" w:cs="Calibri"/>
                <w:b/>
                <w:szCs w:val="36"/>
              </w:rPr>
              <w:t>Date published</w:t>
            </w:r>
          </w:p>
        </w:tc>
        <w:tc>
          <w:tcPr>
            <w:tcW w:w="1236" w:type="dxa"/>
            <w:shd w:val="clear" w:color="auto" w:fill="auto"/>
          </w:tcPr>
          <w:p w14:paraId="1BE28011" w14:textId="77777777" w:rsidR="00207C44" w:rsidRPr="00FD0348" w:rsidRDefault="00207C44" w:rsidP="007A087E">
            <w:pPr>
              <w:rPr>
                <w:rFonts w:eastAsia="MS Mincho" w:cs="Calibri"/>
                <w:b/>
                <w:szCs w:val="36"/>
              </w:rPr>
            </w:pPr>
            <w:r w:rsidRPr="00FD0348">
              <w:rPr>
                <w:rFonts w:eastAsia="MS Mincho" w:cs="Calibri"/>
                <w:b/>
                <w:szCs w:val="36"/>
              </w:rPr>
              <w:t>Version published</w:t>
            </w:r>
          </w:p>
        </w:tc>
        <w:tc>
          <w:tcPr>
            <w:tcW w:w="1483" w:type="dxa"/>
            <w:shd w:val="clear" w:color="auto" w:fill="auto"/>
          </w:tcPr>
          <w:p w14:paraId="5B57CC2A" w14:textId="77777777" w:rsidR="00207C44" w:rsidRPr="00FD0348" w:rsidRDefault="00207C44" w:rsidP="007A087E">
            <w:pPr>
              <w:rPr>
                <w:rFonts w:eastAsia="MS Mincho" w:cs="Calibri"/>
                <w:b/>
                <w:szCs w:val="36"/>
              </w:rPr>
            </w:pPr>
            <w:r w:rsidRPr="00FD0348">
              <w:rPr>
                <w:rFonts w:eastAsia="MS Mincho" w:cs="Calibri"/>
                <w:b/>
                <w:szCs w:val="36"/>
              </w:rPr>
              <w:t>Website Publication authorised by (name)</w:t>
            </w:r>
          </w:p>
        </w:tc>
        <w:tc>
          <w:tcPr>
            <w:tcW w:w="4769" w:type="dxa"/>
            <w:shd w:val="clear" w:color="auto" w:fill="auto"/>
          </w:tcPr>
          <w:p w14:paraId="524045BE" w14:textId="77777777" w:rsidR="00207C44" w:rsidRPr="00FD0348" w:rsidRDefault="00207C44" w:rsidP="007A087E">
            <w:pPr>
              <w:rPr>
                <w:rFonts w:eastAsia="MS Mincho" w:cs="Calibri"/>
                <w:b/>
                <w:szCs w:val="36"/>
              </w:rPr>
            </w:pPr>
            <w:r w:rsidRPr="00FD0348">
              <w:rPr>
                <w:rFonts w:eastAsia="MS Mincho" w:cs="Calibri"/>
                <w:b/>
                <w:szCs w:val="36"/>
              </w:rPr>
              <w:t>Location on website</w:t>
            </w:r>
          </w:p>
        </w:tc>
      </w:tr>
      <w:tr w:rsidR="00207C44" w14:paraId="76013D43" w14:textId="77777777" w:rsidTr="007A087E">
        <w:tc>
          <w:tcPr>
            <w:tcW w:w="1125" w:type="dxa"/>
            <w:shd w:val="clear" w:color="auto" w:fill="auto"/>
          </w:tcPr>
          <w:p w14:paraId="1E0BC3BA" w14:textId="77777777" w:rsidR="00207C44" w:rsidRPr="00FD0348" w:rsidRDefault="00207C44" w:rsidP="007A087E">
            <w:pPr>
              <w:rPr>
                <w:rFonts w:eastAsia="MS Mincho" w:cs="Calibri"/>
                <w:szCs w:val="36"/>
              </w:rPr>
            </w:pPr>
            <w:r>
              <w:rPr>
                <w:rFonts w:cs="Calibri"/>
                <w:szCs w:val="36"/>
              </w:rPr>
              <w:t>16 Jan 2023 (</w:t>
            </w:r>
            <w:r>
              <w:rPr>
                <w:rFonts w:eastAsia="Calibri"/>
              </w:rPr>
              <w:t>no previous publication history available</w:t>
            </w:r>
            <w:r>
              <w:rPr>
                <w:rFonts w:cs="Calibri"/>
                <w:szCs w:val="36"/>
              </w:rPr>
              <w:t>)</w:t>
            </w:r>
          </w:p>
        </w:tc>
        <w:tc>
          <w:tcPr>
            <w:tcW w:w="1236" w:type="dxa"/>
            <w:shd w:val="clear" w:color="auto" w:fill="auto"/>
          </w:tcPr>
          <w:p w14:paraId="446075A9" w14:textId="77777777" w:rsidR="00207C44" w:rsidRPr="00FD0348" w:rsidRDefault="00207C44" w:rsidP="007A087E">
            <w:pPr>
              <w:rPr>
                <w:rFonts w:eastAsia="MS Mincho" w:cs="Calibri"/>
                <w:szCs w:val="36"/>
              </w:rPr>
            </w:pPr>
            <w:r w:rsidRPr="00FD0348">
              <w:rPr>
                <w:rFonts w:eastAsia="MS Mincho" w:cs="Calibri"/>
                <w:szCs w:val="36"/>
              </w:rPr>
              <w:t>V3.0</w:t>
            </w:r>
          </w:p>
        </w:tc>
        <w:tc>
          <w:tcPr>
            <w:tcW w:w="1483" w:type="dxa"/>
            <w:shd w:val="clear" w:color="auto" w:fill="auto"/>
          </w:tcPr>
          <w:p w14:paraId="438EABFC" w14:textId="77777777" w:rsidR="00207C44" w:rsidRPr="00FD0348" w:rsidRDefault="00207C44" w:rsidP="007A087E">
            <w:pPr>
              <w:rPr>
                <w:rFonts w:eastAsia="MS Mincho" w:cs="Calibri"/>
                <w:szCs w:val="36"/>
              </w:rPr>
            </w:pPr>
            <w:r w:rsidRPr="00FD0348">
              <w:rPr>
                <w:rFonts w:eastAsia="MS Mincho" w:cs="Calibri"/>
                <w:szCs w:val="36"/>
              </w:rPr>
              <w:t>Caitriona Creely</w:t>
            </w:r>
          </w:p>
        </w:tc>
        <w:tc>
          <w:tcPr>
            <w:tcW w:w="4769" w:type="dxa"/>
            <w:shd w:val="clear" w:color="auto" w:fill="auto"/>
          </w:tcPr>
          <w:p w14:paraId="5368C959" w14:textId="77777777" w:rsidR="00207C44" w:rsidRPr="00FD0348" w:rsidRDefault="00F21116" w:rsidP="007A087E">
            <w:pPr>
              <w:rPr>
                <w:rFonts w:eastAsia="MS Mincho" w:cs="Calibri"/>
                <w:szCs w:val="36"/>
              </w:rPr>
            </w:pPr>
            <w:hyperlink r:id="rId15" w:history="1">
              <w:r w:rsidR="00207C44" w:rsidRPr="00750800">
                <w:rPr>
                  <w:rStyle w:val="Hyperlink"/>
                  <w:rFonts w:eastAsia="MS Mincho" w:cs="Calibri"/>
                  <w:szCs w:val="36"/>
                </w:rPr>
                <w:t>https://www.hrb.ie/funding/funding-schemes/before-you-apply/all-grant-policies/no-cost-extensions/</w:t>
              </w:r>
            </w:hyperlink>
            <w:r w:rsidR="00207C44">
              <w:rPr>
                <w:rFonts w:eastAsia="MS Mincho" w:cs="Calibri"/>
                <w:szCs w:val="36"/>
              </w:rPr>
              <w:t xml:space="preserve"> </w:t>
            </w:r>
          </w:p>
        </w:tc>
      </w:tr>
    </w:tbl>
    <w:p w14:paraId="28981CB1" w14:textId="77777777" w:rsidR="00207C44" w:rsidRPr="00FD0348" w:rsidRDefault="00207C44" w:rsidP="00207C44">
      <w:pPr>
        <w:ind w:left="720"/>
        <w:rPr>
          <w:rFonts w:cs="Calibri"/>
          <w:szCs w:val="28"/>
        </w:rPr>
      </w:pPr>
    </w:p>
    <w:p w14:paraId="6E9174C2" w14:textId="77777777" w:rsidR="00207C44" w:rsidRDefault="00207C44" w:rsidP="00207C44">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37"/>
        <w:gridCol w:w="1464"/>
        <w:gridCol w:w="4644"/>
      </w:tblGrid>
      <w:tr w:rsidR="00207C44" w14:paraId="779D1B66" w14:textId="77777777" w:rsidTr="007A087E">
        <w:tc>
          <w:tcPr>
            <w:tcW w:w="8528" w:type="dxa"/>
            <w:gridSpan w:val="4"/>
            <w:shd w:val="clear" w:color="auto" w:fill="D9E2F3"/>
          </w:tcPr>
          <w:p w14:paraId="5D393B19" w14:textId="77777777" w:rsidR="00207C44" w:rsidRPr="00FE5C95" w:rsidRDefault="00207C44" w:rsidP="007A087E">
            <w:pPr>
              <w:pStyle w:val="HRBHeadingintableBlue"/>
              <w:rPr>
                <w:rFonts w:cs="Calibri"/>
              </w:rPr>
            </w:pPr>
            <w:r w:rsidRPr="00FE5C95">
              <w:rPr>
                <w:rFonts w:cs="Calibri"/>
                <w:b/>
              </w:rPr>
              <w:lastRenderedPageBreak/>
              <w:t xml:space="preserve">Edits </w:t>
            </w:r>
          </w:p>
        </w:tc>
      </w:tr>
      <w:tr w:rsidR="00207C44" w:rsidRPr="002E19EC" w14:paraId="486A2E92" w14:textId="77777777" w:rsidTr="007A087E">
        <w:tc>
          <w:tcPr>
            <w:tcW w:w="1183" w:type="dxa"/>
            <w:shd w:val="clear" w:color="auto" w:fill="auto"/>
          </w:tcPr>
          <w:p w14:paraId="613118C8" w14:textId="77777777" w:rsidR="00207C44" w:rsidRPr="00FD0348" w:rsidRDefault="00207C44" w:rsidP="007A087E">
            <w:pPr>
              <w:rPr>
                <w:rFonts w:eastAsia="MS Mincho" w:cs="Calibri"/>
                <w:b/>
                <w:sz w:val="24"/>
              </w:rPr>
            </w:pPr>
            <w:r w:rsidRPr="00FD0348">
              <w:rPr>
                <w:rFonts w:eastAsia="MS Mincho" w:cs="Calibri"/>
                <w:b/>
                <w:sz w:val="24"/>
              </w:rPr>
              <w:t>Version control</w:t>
            </w:r>
          </w:p>
        </w:tc>
        <w:tc>
          <w:tcPr>
            <w:tcW w:w="1237" w:type="dxa"/>
            <w:shd w:val="clear" w:color="auto" w:fill="auto"/>
          </w:tcPr>
          <w:p w14:paraId="33908CE5" w14:textId="77777777" w:rsidR="00207C44" w:rsidRPr="00FE5C95" w:rsidRDefault="00207C44" w:rsidP="007A087E">
            <w:pPr>
              <w:rPr>
                <w:rFonts w:eastAsia="MS Mincho" w:cs="Calibri"/>
                <w:b/>
              </w:rPr>
            </w:pPr>
            <w:r w:rsidRPr="00FE5C95">
              <w:rPr>
                <w:rFonts w:eastAsia="MS Mincho" w:cs="Calibri"/>
                <w:b/>
              </w:rPr>
              <w:t>Name</w:t>
            </w:r>
          </w:p>
        </w:tc>
        <w:tc>
          <w:tcPr>
            <w:tcW w:w="1464" w:type="dxa"/>
            <w:shd w:val="clear" w:color="auto" w:fill="auto"/>
          </w:tcPr>
          <w:p w14:paraId="4B79F7AB" w14:textId="77777777" w:rsidR="00207C44" w:rsidRPr="00FE5C95" w:rsidRDefault="00207C44" w:rsidP="007A087E">
            <w:pPr>
              <w:rPr>
                <w:rFonts w:eastAsia="MS Mincho" w:cs="Calibri"/>
                <w:b/>
              </w:rPr>
            </w:pPr>
            <w:r w:rsidRPr="00FE5C95">
              <w:rPr>
                <w:rFonts w:eastAsia="MS Mincho" w:cs="Calibri"/>
                <w:b/>
              </w:rPr>
              <w:t>Date</w:t>
            </w:r>
          </w:p>
        </w:tc>
        <w:tc>
          <w:tcPr>
            <w:tcW w:w="4644" w:type="dxa"/>
            <w:shd w:val="clear" w:color="auto" w:fill="auto"/>
          </w:tcPr>
          <w:p w14:paraId="211F4A18" w14:textId="77777777" w:rsidR="00207C44" w:rsidRPr="00FE5C95" w:rsidRDefault="00207C44" w:rsidP="007A087E">
            <w:pPr>
              <w:rPr>
                <w:rFonts w:eastAsia="MS Mincho" w:cs="Calibri"/>
                <w:b/>
              </w:rPr>
            </w:pPr>
            <w:r w:rsidRPr="00FE5C95">
              <w:rPr>
                <w:rFonts w:eastAsia="MS Mincho" w:cs="Calibri"/>
                <w:b/>
              </w:rPr>
              <w:t>Changes</w:t>
            </w:r>
          </w:p>
        </w:tc>
      </w:tr>
      <w:tr w:rsidR="00207C44" w14:paraId="431BEBE7" w14:textId="77777777" w:rsidTr="007A087E">
        <w:tc>
          <w:tcPr>
            <w:tcW w:w="1183" w:type="dxa"/>
            <w:shd w:val="clear" w:color="auto" w:fill="auto"/>
          </w:tcPr>
          <w:p w14:paraId="2C896531" w14:textId="77777777" w:rsidR="00207C44" w:rsidRPr="00FD0348" w:rsidRDefault="00207C44" w:rsidP="007A087E">
            <w:pPr>
              <w:rPr>
                <w:rFonts w:eastAsia="MS Mincho" w:cs="Calibri"/>
                <w:sz w:val="24"/>
              </w:rPr>
            </w:pPr>
            <w:r w:rsidRPr="00FD0348">
              <w:rPr>
                <w:rFonts w:eastAsia="MS Mincho" w:cs="Calibri"/>
                <w:sz w:val="24"/>
              </w:rPr>
              <w:t>V3.0</w:t>
            </w:r>
            <w:r>
              <w:rPr>
                <w:rFonts w:eastAsia="MS Mincho" w:cs="Calibri"/>
                <w:sz w:val="24"/>
              </w:rPr>
              <w:t xml:space="preserve"> (</w:t>
            </w:r>
            <w:r>
              <w:rPr>
                <w:rFonts w:eastAsia="Calibri"/>
              </w:rPr>
              <w:t>no previous VCS available)</w:t>
            </w:r>
          </w:p>
        </w:tc>
        <w:tc>
          <w:tcPr>
            <w:tcW w:w="1237" w:type="dxa"/>
            <w:shd w:val="clear" w:color="auto" w:fill="auto"/>
          </w:tcPr>
          <w:p w14:paraId="2DFBCD96" w14:textId="77777777" w:rsidR="00207C44" w:rsidRPr="00FE5C95" w:rsidRDefault="00207C44" w:rsidP="007A087E">
            <w:pPr>
              <w:rPr>
                <w:rFonts w:eastAsia="MS Mincho" w:cs="Calibri"/>
              </w:rPr>
            </w:pPr>
            <w:r w:rsidRPr="00FE5C95">
              <w:rPr>
                <w:rFonts w:eastAsia="MS Mincho" w:cs="Calibri"/>
              </w:rPr>
              <w:t xml:space="preserve">Caitriona </w:t>
            </w:r>
            <w:r w:rsidRPr="00FE5C95">
              <w:rPr>
                <w:rFonts w:eastAsia="Calibri"/>
                <w:bCs/>
              </w:rPr>
              <w:t>Creely (approved by RSF Dir)</w:t>
            </w:r>
          </w:p>
        </w:tc>
        <w:tc>
          <w:tcPr>
            <w:tcW w:w="1464" w:type="dxa"/>
            <w:shd w:val="clear" w:color="auto" w:fill="auto"/>
          </w:tcPr>
          <w:p w14:paraId="300AC398" w14:textId="77777777" w:rsidR="00207C44" w:rsidRPr="00FE5C95" w:rsidRDefault="00207C44" w:rsidP="007A087E">
            <w:pPr>
              <w:rPr>
                <w:rFonts w:eastAsia="MS Mincho" w:cs="Calibri"/>
              </w:rPr>
            </w:pPr>
            <w:r w:rsidRPr="00FE5C95">
              <w:rPr>
                <w:rFonts w:eastAsia="MS Mincho" w:cs="Calibri"/>
              </w:rPr>
              <w:t>06 Jan 2023</w:t>
            </w:r>
          </w:p>
        </w:tc>
        <w:tc>
          <w:tcPr>
            <w:tcW w:w="4644" w:type="dxa"/>
            <w:shd w:val="clear" w:color="auto" w:fill="auto"/>
          </w:tcPr>
          <w:p w14:paraId="27FE585D" w14:textId="77777777" w:rsidR="00207C44" w:rsidRPr="00FE5C95" w:rsidRDefault="00207C44" w:rsidP="007A087E">
            <w:pPr>
              <w:rPr>
                <w:rFonts w:eastAsia="MS Mincho" w:cs="Calibri"/>
                <w:color w:val="000000"/>
                <w:lang w:eastAsia="en-IE"/>
              </w:rPr>
            </w:pPr>
            <w:r w:rsidRPr="00FE5C95">
              <w:rPr>
                <w:rFonts w:eastAsia="MS Mincho" w:cs="Calibri"/>
              </w:rPr>
              <w:t>Edits to</w:t>
            </w:r>
            <w:r w:rsidRPr="00FE5C95">
              <w:rPr>
                <w:rFonts w:eastAsia="MS Mincho" w:cs="Calibri"/>
                <w:color w:val="000000"/>
                <w:lang w:eastAsia="en-IE"/>
              </w:rPr>
              <w:t xml:space="preserve"> clarify that no variation request will be considered after the end date of the grant</w:t>
            </w:r>
          </w:p>
          <w:p w14:paraId="6390BFD3" w14:textId="77777777" w:rsidR="00207C44" w:rsidRPr="00FE5C95" w:rsidRDefault="00207C44" w:rsidP="007A087E">
            <w:pPr>
              <w:rPr>
                <w:rFonts w:eastAsia="MS Mincho" w:cs="Calibri"/>
              </w:rPr>
            </w:pPr>
          </w:p>
        </w:tc>
      </w:tr>
      <w:tr w:rsidR="00207C44" w14:paraId="0C08B465" w14:textId="77777777" w:rsidTr="007A087E">
        <w:tc>
          <w:tcPr>
            <w:tcW w:w="1183" w:type="dxa"/>
            <w:shd w:val="clear" w:color="auto" w:fill="auto"/>
          </w:tcPr>
          <w:p w14:paraId="2135C620" w14:textId="77777777" w:rsidR="00207C44" w:rsidRPr="00FD0348" w:rsidRDefault="00207C44" w:rsidP="007A087E">
            <w:pPr>
              <w:rPr>
                <w:rFonts w:eastAsia="MS Mincho" w:cs="Calibri"/>
                <w:sz w:val="24"/>
              </w:rPr>
            </w:pPr>
            <w:r>
              <w:rPr>
                <w:rFonts w:eastAsia="MS Mincho" w:cs="Calibri"/>
                <w:sz w:val="24"/>
              </w:rPr>
              <w:t>V4.0</w:t>
            </w:r>
          </w:p>
        </w:tc>
        <w:tc>
          <w:tcPr>
            <w:tcW w:w="1237" w:type="dxa"/>
            <w:shd w:val="clear" w:color="auto" w:fill="auto"/>
          </w:tcPr>
          <w:p w14:paraId="26FE7EDC" w14:textId="77777777" w:rsidR="00207C44" w:rsidRPr="00FE5C95" w:rsidRDefault="00207C44" w:rsidP="007A087E">
            <w:pPr>
              <w:rPr>
                <w:rFonts w:eastAsia="MS Mincho" w:cs="Calibri"/>
              </w:rPr>
            </w:pPr>
            <w:r w:rsidRPr="00FE5C95">
              <w:rPr>
                <w:rFonts w:eastAsia="MS Mincho" w:cs="Calibri"/>
              </w:rPr>
              <w:t>Caitriona Creely</w:t>
            </w:r>
          </w:p>
        </w:tc>
        <w:tc>
          <w:tcPr>
            <w:tcW w:w="1464" w:type="dxa"/>
            <w:shd w:val="clear" w:color="auto" w:fill="auto"/>
          </w:tcPr>
          <w:p w14:paraId="0C559178" w14:textId="77777777" w:rsidR="00207C44" w:rsidRPr="00FE5C95" w:rsidRDefault="00207C44" w:rsidP="007A087E">
            <w:pPr>
              <w:rPr>
                <w:rFonts w:eastAsia="MS Mincho" w:cs="Calibri"/>
              </w:rPr>
            </w:pPr>
            <w:r w:rsidRPr="00FE5C95">
              <w:rPr>
                <w:rFonts w:eastAsia="MS Mincho" w:cs="Calibri"/>
              </w:rPr>
              <w:t>TBC</w:t>
            </w:r>
          </w:p>
        </w:tc>
        <w:tc>
          <w:tcPr>
            <w:tcW w:w="4644" w:type="dxa"/>
            <w:shd w:val="clear" w:color="auto" w:fill="auto"/>
          </w:tcPr>
          <w:p w14:paraId="49BA7060" w14:textId="77777777" w:rsidR="00207C44" w:rsidRPr="00FE5C95" w:rsidRDefault="00207C44" w:rsidP="00207C44">
            <w:pPr>
              <w:numPr>
                <w:ilvl w:val="0"/>
                <w:numId w:val="11"/>
              </w:numPr>
              <w:spacing w:after="0" w:line="240" w:lineRule="auto"/>
              <w:rPr>
                <w:rFonts w:eastAsia="MS Mincho" w:cs="Calibri"/>
              </w:rPr>
            </w:pPr>
            <w:r w:rsidRPr="00FE5C95">
              <w:rPr>
                <w:rFonts w:eastAsia="MS Mincho" w:cs="Calibri"/>
              </w:rPr>
              <w:t>Edits to clarify the circumstances when NCEs will be approved</w:t>
            </w:r>
          </w:p>
          <w:p w14:paraId="1075ED2B" w14:textId="77777777" w:rsidR="00207C44" w:rsidRPr="00FE5C95" w:rsidRDefault="00207C44" w:rsidP="00207C44">
            <w:pPr>
              <w:numPr>
                <w:ilvl w:val="0"/>
                <w:numId w:val="11"/>
              </w:numPr>
              <w:spacing w:after="0" w:line="240" w:lineRule="auto"/>
              <w:rPr>
                <w:rFonts w:eastAsia="MS Mincho" w:cs="Calibri"/>
              </w:rPr>
            </w:pPr>
            <w:r w:rsidRPr="00FE5C95">
              <w:rPr>
                <w:rFonts w:eastAsia="MS Mincho" w:cs="Calibri"/>
              </w:rPr>
              <w:t>To ask that NCE requests are submitted towards the end of the award</w:t>
            </w:r>
          </w:p>
          <w:p w14:paraId="17183961" w14:textId="77777777" w:rsidR="00207C44" w:rsidRPr="00FE5C95" w:rsidRDefault="00207C44" w:rsidP="00207C44">
            <w:pPr>
              <w:numPr>
                <w:ilvl w:val="0"/>
                <w:numId w:val="11"/>
              </w:numPr>
              <w:spacing w:after="0" w:line="240" w:lineRule="auto"/>
              <w:rPr>
                <w:rFonts w:eastAsia="MS Mincho" w:cs="Calibri"/>
              </w:rPr>
            </w:pPr>
            <w:r w:rsidRPr="00FE5C95">
              <w:rPr>
                <w:rFonts w:eastAsia="MS Mincho" w:cs="Calibri"/>
              </w:rPr>
              <w:t>To introduce the option of the Letter of Comfort and process to request same</w:t>
            </w:r>
          </w:p>
          <w:p w14:paraId="175DFEE7" w14:textId="4407655D" w:rsidR="00207C44" w:rsidRPr="00FE5C95" w:rsidRDefault="00207C44" w:rsidP="00207C44">
            <w:pPr>
              <w:numPr>
                <w:ilvl w:val="0"/>
                <w:numId w:val="11"/>
              </w:numPr>
              <w:spacing w:after="0" w:line="240" w:lineRule="auto"/>
              <w:rPr>
                <w:rFonts w:eastAsia="MS Mincho" w:cs="Calibri"/>
              </w:rPr>
            </w:pPr>
            <w:r w:rsidRPr="00FE5C95">
              <w:rPr>
                <w:rFonts w:eastAsia="MS Mincho" w:cs="Calibri"/>
              </w:rPr>
              <w:t xml:space="preserve">To request that NCE submissions should reach the HRB </w:t>
            </w:r>
            <w:r w:rsidR="00FE5C95">
              <w:rPr>
                <w:rFonts w:eastAsia="MS Mincho" w:cs="Calibri"/>
              </w:rPr>
              <w:t>three</w:t>
            </w:r>
            <w:r w:rsidRPr="00FE5C95">
              <w:rPr>
                <w:rFonts w:eastAsia="MS Mincho" w:cs="Calibri"/>
              </w:rPr>
              <w:t xml:space="preserve"> months before the end of grant.</w:t>
            </w:r>
          </w:p>
        </w:tc>
      </w:tr>
    </w:tbl>
    <w:p w14:paraId="44FD3D50" w14:textId="77777777" w:rsidR="00207C44" w:rsidRPr="00213F4F" w:rsidRDefault="00207C44" w:rsidP="00207C44">
      <w:pPr>
        <w:jc w:val="both"/>
      </w:pPr>
    </w:p>
    <w:p w14:paraId="503DF455" w14:textId="77777777" w:rsidR="00207C44" w:rsidRDefault="00207C44" w:rsidP="0009237C">
      <w:pPr>
        <w:jc w:val="right"/>
      </w:pPr>
    </w:p>
    <w:sectPr w:rsidR="00207C44" w:rsidSect="0036514C">
      <w:headerReference w:type="default" r:id="rId16"/>
      <w:footerReference w:type="default" r:id="rId17"/>
      <w:footerReference w:type="first" r:id="rId18"/>
      <w:pgSz w:w="11900" w:h="16840" w:code="9"/>
      <w:pgMar w:top="1418" w:right="1418" w:bottom="1418" w:left="1418"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F549" w14:textId="77777777" w:rsidR="00A2334B" w:rsidRDefault="00A2334B" w:rsidP="008E0671">
      <w:r>
        <w:separator/>
      </w:r>
    </w:p>
    <w:p w14:paraId="1386D960" w14:textId="77777777" w:rsidR="00A2334B" w:rsidRDefault="00A2334B" w:rsidP="008E0671"/>
    <w:p w14:paraId="374DE20F" w14:textId="77777777" w:rsidR="00A2334B" w:rsidRDefault="00A2334B" w:rsidP="008E0671"/>
    <w:p w14:paraId="41E63D67" w14:textId="77777777" w:rsidR="00A2334B" w:rsidRDefault="00A2334B" w:rsidP="008E0671"/>
    <w:p w14:paraId="38CE7E19" w14:textId="77777777" w:rsidR="00A2334B" w:rsidRDefault="00A2334B" w:rsidP="008E0671"/>
    <w:p w14:paraId="64C84B37" w14:textId="77777777" w:rsidR="00A2334B" w:rsidRDefault="00A2334B" w:rsidP="008E0671"/>
  </w:endnote>
  <w:endnote w:type="continuationSeparator" w:id="0">
    <w:p w14:paraId="08F886EE" w14:textId="77777777" w:rsidR="00A2334B" w:rsidRDefault="00A2334B" w:rsidP="008E0671">
      <w:r>
        <w:continuationSeparator/>
      </w:r>
    </w:p>
    <w:p w14:paraId="415D1108" w14:textId="77777777" w:rsidR="00A2334B" w:rsidRDefault="00A2334B" w:rsidP="008E0671"/>
    <w:p w14:paraId="2A633F11" w14:textId="77777777" w:rsidR="00A2334B" w:rsidRDefault="00A2334B" w:rsidP="008E0671"/>
    <w:p w14:paraId="3C773CE1" w14:textId="77777777" w:rsidR="00A2334B" w:rsidRDefault="00A2334B" w:rsidP="008E0671"/>
    <w:p w14:paraId="45674513" w14:textId="77777777" w:rsidR="00A2334B" w:rsidRDefault="00A2334B" w:rsidP="008E0671"/>
    <w:p w14:paraId="25D1D2BB" w14:textId="77777777" w:rsidR="00A2334B" w:rsidRDefault="00A2334B" w:rsidP="008E0671"/>
  </w:endnote>
  <w:endnote w:type="continuationNotice" w:id="1">
    <w:p w14:paraId="4CCF3D30" w14:textId="77777777" w:rsidR="00A2334B" w:rsidRDefault="00A23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6311" w14:textId="77777777" w:rsidR="00A2334B" w:rsidRPr="00C3449B" w:rsidRDefault="00A2334B" w:rsidP="008E0671">
      <w:pPr>
        <w:rPr>
          <w:color w:val="17479E" w:themeColor="text2"/>
          <w:sz w:val="18"/>
          <w:szCs w:val="18"/>
        </w:rPr>
      </w:pPr>
      <w:r w:rsidRPr="00C3449B">
        <w:rPr>
          <w:color w:val="17479E" w:themeColor="text2"/>
          <w:sz w:val="18"/>
          <w:szCs w:val="18"/>
        </w:rPr>
        <w:separator/>
      </w:r>
    </w:p>
  </w:footnote>
  <w:footnote w:type="continuationSeparator" w:id="0">
    <w:p w14:paraId="0AE9A0D2" w14:textId="77777777" w:rsidR="00A2334B" w:rsidRPr="00C3449B" w:rsidRDefault="00A2334B" w:rsidP="008E0671">
      <w:pPr>
        <w:rPr>
          <w:color w:val="17479E" w:themeColor="text2"/>
          <w:sz w:val="18"/>
          <w:szCs w:val="18"/>
        </w:rPr>
      </w:pPr>
      <w:r w:rsidRPr="00C3449B">
        <w:rPr>
          <w:color w:val="17479E" w:themeColor="text2"/>
          <w:sz w:val="18"/>
          <w:szCs w:val="18"/>
        </w:rPr>
        <w:continuationSeparator/>
      </w:r>
    </w:p>
  </w:footnote>
  <w:footnote w:type="continuationNotice" w:id="1">
    <w:p w14:paraId="751530A6" w14:textId="77777777" w:rsidR="00A2334B" w:rsidRPr="00C3449B" w:rsidRDefault="00A2334B">
      <w:pPr>
        <w:spacing w:after="0" w:line="240" w:lineRule="auto"/>
        <w:rPr>
          <w:sz w:val="18"/>
          <w:szCs w:val="18"/>
        </w:rPr>
      </w:pPr>
    </w:p>
  </w:footnote>
  <w:footnote w:id="2">
    <w:p w14:paraId="74E05E86" w14:textId="77777777" w:rsidR="00A33482" w:rsidRPr="007A087E" w:rsidRDefault="00A33482" w:rsidP="00A33482">
      <w:pPr>
        <w:pStyle w:val="FootnoteText"/>
      </w:pPr>
      <w:r>
        <w:rPr>
          <w:rStyle w:val="FootnoteReference"/>
        </w:rPr>
        <w:footnoteRef/>
      </w:r>
      <w:r>
        <w:t xml:space="preserve"> </w:t>
      </w:r>
      <w:r w:rsidRPr="00B95E42">
        <w:t>Please note that the original application to HRB plus any special T&amp;C included in the contract together set out the “grant funded activities”, and any changes to objectives or deliverables requires prior approval from HRB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5ED2D5AF" w:rsidR="00E43390" w:rsidRPr="004A4330" w:rsidRDefault="00A33482" w:rsidP="004E1CCD">
        <w:pPr>
          <w:pStyle w:val="HRBHeader"/>
        </w:pPr>
        <w:r>
          <w:t>No-cost Extensions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 w15:restartNumberingAfterBreak="0">
    <w:nsid w:val="2570651F"/>
    <w:multiLevelType w:val="hybridMultilevel"/>
    <w:tmpl w:val="22C67C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4" w15:restartNumberingAfterBreak="0">
    <w:nsid w:val="3A325C30"/>
    <w:multiLevelType w:val="hybridMultilevel"/>
    <w:tmpl w:val="58C60E72"/>
    <w:lvl w:ilvl="0" w:tplc="A948B134">
      <w:start w:val="1"/>
      <w:numFmt w:val="lowerLetter"/>
      <w:lvlText w:val="(%1)"/>
      <w:lvlJc w:val="left"/>
      <w:pPr>
        <w:tabs>
          <w:tab w:val="num" w:pos="851"/>
        </w:tabs>
        <w:ind w:left="851" w:hanging="426"/>
      </w:pPr>
      <w:rPr>
        <w:rFonts w:ascii="Tahoma" w:eastAsia="Times New Roman" w:hAnsi="Tahoma" w:cs="Tahoma"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1B7A46"/>
    <w:multiLevelType w:val="hybridMultilevel"/>
    <w:tmpl w:val="4AB2F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9837D50"/>
    <w:multiLevelType w:val="hybridMultilevel"/>
    <w:tmpl w:val="50CAE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A60B74"/>
    <w:multiLevelType w:val="hybridMultilevel"/>
    <w:tmpl w:val="47DE86A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527F0973"/>
    <w:multiLevelType w:val="hybridMultilevel"/>
    <w:tmpl w:val="EB361ADA"/>
    <w:lvl w:ilvl="0" w:tplc="7E26E61A">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5700E1"/>
    <w:multiLevelType w:val="hybridMultilevel"/>
    <w:tmpl w:val="F4AC2E3E"/>
    <w:lvl w:ilvl="0" w:tplc="A8AEB8BC">
      <w:start w:val="2"/>
      <w:numFmt w:val="decimal"/>
      <w:lvlText w:val="%1."/>
      <w:lvlJc w:val="left"/>
      <w:pPr>
        <w:tabs>
          <w:tab w:val="num" w:pos="428"/>
        </w:tabs>
        <w:ind w:left="428" w:hanging="428"/>
      </w:pPr>
      <w:rPr>
        <w:rFonts w:hint="default"/>
      </w:rPr>
    </w:lvl>
    <w:lvl w:ilvl="1" w:tplc="FFFFFFFF" w:tentative="1">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0"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1" w15:restartNumberingAfterBreak="0">
    <w:nsid w:val="59625D93"/>
    <w:multiLevelType w:val="hybridMultilevel"/>
    <w:tmpl w:val="2914552E"/>
    <w:lvl w:ilvl="0" w:tplc="828EF00C">
      <w:start w:val="1"/>
      <w:numFmt w:val="decimal"/>
      <w:lvlText w:val="%1."/>
      <w:lvlJc w:val="left"/>
      <w:pPr>
        <w:tabs>
          <w:tab w:val="num" w:pos="428"/>
        </w:tabs>
        <w:ind w:left="428" w:hanging="428"/>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7B13BE6"/>
    <w:multiLevelType w:val="hybridMultilevel"/>
    <w:tmpl w:val="1F3ED0D6"/>
    <w:lvl w:ilvl="0" w:tplc="18090017">
      <w:start w:val="1"/>
      <w:numFmt w:val="lowerLetter"/>
      <w:lvlText w:val="%1)"/>
      <w:lvlJc w:val="left"/>
      <w:pPr>
        <w:tabs>
          <w:tab w:val="num" w:pos="851"/>
        </w:tabs>
        <w:ind w:left="851" w:hanging="426"/>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4E4E3C"/>
    <w:multiLevelType w:val="hybridMultilevel"/>
    <w:tmpl w:val="4B102A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7D3F2404"/>
    <w:multiLevelType w:val="hybridMultilevel"/>
    <w:tmpl w:val="49361F36"/>
    <w:lvl w:ilvl="0" w:tplc="E73A617E">
      <w:start w:val="2"/>
      <w:numFmt w:val="decimal"/>
      <w:lvlText w:val="%1."/>
      <w:lvlJc w:val="left"/>
      <w:pPr>
        <w:tabs>
          <w:tab w:val="num" w:pos="428"/>
        </w:tabs>
        <w:ind w:left="428" w:hanging="428"/>
      </w:pPr>
      <w:rPr>
        <w:rFonts w:hint="default"/>
      </w:rPr>
    </w:lvl>
    <w:lvl w:ilvl="1" w:tplc="04090019" w:tentative="1">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num w:numId="1" w16cid:durableId="2145075904">
    <w:abstractNumId w:val="0"/>
  </w:num>
  <w:num w:numId="2" w16cid:durableId="1525166222">
    <w:abstractNumId w:val="14"/>
  </w:num>
  <w:num w:numId="3" w16cid:durableId="1478567351">
    <w:abstractNumId w:val="2"/>
  </w:num>
  <w:num w:numId="4" w16cid:durableId="298806275">
    <w:abstractNumId w:val="3"/>
  </w:num>
  <w:num w:numId="5" w16cid:durableId="1754278360">
    <w:abstractNumId w:val="10"/>
  </w:num>
  <w:num w:numId="6" w16cid:durableId="1382250664">
    <w:abstractNumId w:val="8"/>
  </w:num>
  <w:num w:numId="7" w16cid:durableId="1712343099">
    <w:abstractNumId w:val="4"/>
  </w:num>
  <w:num w:numId="8" w16cid:durableId="1568147935">
    <w:abstractNumId w:val="15"/>
  </w:num>
  <w:num w:numId="9" w16cid:durableId="1937520190">
    <w:abstractNumId w:val="13"/>
  </w:num>
  <w:num w:numId="10" w16cid:durableId="1241866921">
    <w:abstractNumId w:val="6"/>
  </w:num>
  <w:num w:numId="11" w16cid:durableId="462506230">
    <w:abstractNumId w:val="5"/>
  </w:num>
  <w:num w:numId="12" w16cid:durableId="916478711">
    <w:abstractNumId w:val="12"/>
  </w:num>
  <w:num w:numId="13" w16cid:durableId="1443843054">
    <w:abstractNumId w:val="1"/>
  </w:num>
  <w:num w:numId="14" w16cid:durableId="1635671379">
    <w:abstractNumId w:val="9"/>
  </w:num>
  <w:num w:numId="15" w16cid:durableId="1780686031">
    <w:abstractNumId w:val="11"/>
  </w:num>
  <w:num w:numId="16" w16cid:durableId="164851210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MTQxNTI3MLEwsDRW0lEKTi0uzszPAykwrgUA3XDM1iwAAAA="/>
  </w:docVars>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208"/>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5D96"/>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739"/>
    <w:rsid w:val="00065A18"/>
    <w:rsid w:val="000661A4"/>
    <w:rsid w:val="000663E5"/>
    <w:rsid w:val="00067774"/>
    <w:rsid w:val="00067B60"/>
    <w:rsid w:val="00072988"/>
    <w:rsid w:val="000732DE"/>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37C"/>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4C82"/>
    <w:rsid w:val="000E6E1D"/>
    <w:rsid w:val="000E72B1"/>
    <w:rsid w:val="000E7675"/>
    <w:rsid w:val="000E77B1"/>
    <w:rsid w:val="000E7B7E"/>
    <w:rsid w:val="000F0247"/>
    <w:rsid w:val="000F0492"/>
    <w:rsid w:val="000F0AF9"/>
    <w:rsid w:val="000F1118"/>
    <w:rsid w:val="000F159C"/>
    <w:rsid w:val="000F1967"/>
    <w:rsid w:val="000F22DA"/>
    <w:rsid w:val="000F311D"/>
    <w:rsid w:val="000F572E"/>
    <w:rsid w:val="000F5761"/>
    <w:rsid w:val="00100EB0"/>
    <w:rsid w:val="0010133E"/>
    <w:rsid w:val="0010175A"/>
    <w:rsid w:val="00101B22"/>
    <w:rsid w:val="00101DBE"/>
    <w:rsid w:val="001025E4"/>
    <w:rsid w:val="00102B94"/>
    <w:rsid w:val="00102CE3"/>
    <w:rsid w:val="00103334"/>
    <w:rsid w:val="00104DF2"/>
    <w:rsid w:val="0010585F"/>
    <w:rsid w:val="00106529"/>
    <w:rsid w:val="00110111"/>
    <w:rsid w:val="00110A1C"/>
    <w:rsid w:val="00110A90"/>
    <w:rsid w:val="001119FC"/>
    <w:rsid w:val="00111E76"/>
    <w:rsid w:val="001120DB"/>
    <w:rsid w:val="001129C2"/>
    <w:rsid w:val="00112ECD"/>
    <w:rsid w:val="00114131"/>
    <w:rsid w:val="00115E1D"/>
    <w:rsid w:val="00117341"/>
    <w:rsid w:val="001176E3"/>
    <w:rsid w:val="00117B5B"/>
    <w:rsid w:val="00120756"/>
    <w:rsid w:val="00120E52"/>
    <w:rsid w:val="00121384"/>
    <w:rsid w:val="0012186B"/>
    <w:rsid w:val="00122AE2"/>
    <w:rsid w:val="0012442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42F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3D37"/>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5B5B"/>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5A98"/>
    <w:rsid w:val="002061C6"/>
    <w:rsid w:val="00206370"/>
    <w:rsid w:val="002065EE"/>
    <w:rsid w:val="00206C1C"/>
    <w:rsid w:val="002077D1"/>
    <w:rsid w:val="00207C44"/>
    <w:rsid w:val="002100DF"/>
    <w:rsid w:val="002113DD"/>
    <w:rsid w:val="002115C4"/>
    <w:rsid w:val="00212C70"/>
    <w:rsid w:val="002141E4"/>
    <w:rsid w:val="002151C3"/>
    <w:rsid w:val="00215270"/>
    <w:rsid w:val="00215779"/>
    <w:rsid w:val="00215A7C"/>
    <w:rsid w:val="00215CF2"/>
    <w:rsid w:val="0022032E"/>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0C1B"/>
    <w:rsid w:val="00261436"/>
    <w:rsid w:val="00261658"/>
    <w:rsid w:val="002626C2"/>
    <w:rsid w:val="0026298B"/>
    <w:rsid w:val="00263476"/>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4D12"/>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5ED6"/>
    <w:rsid w:val="002A67AF"/>
    <w:rsid w:val="002A6BDF"/>
    <w:rsid w:val="002A75F3"/>
    <w:rsid w:val="002A7DBF"/>
    <w:rsid w:val="002B01FA"/>
    <w:rsid w:val="002B041B"/>
    <w:rsid w:val="002B0C7E"/>
    <w:rsid w:val="002B1A3F"/>
    <w:rsid w:val="002B2AE6"/>
    <w:rsid w:val="002B48B8"/>
    <w:rsid w:val="002B4DBE"/>
    <w:rsid w:val="002B5122"/>
    <w:rsid w:val="002B5226"/>
    <w:rsid w:val="002B5B30"/>
    <w:rsid w:val="002B5B9C"/>
    <w:rsid w:val="002B601B"/>
    <w:rsid w:val="002B6A35"/>
    <w:rsid w:val="002C0872"/>
    <w:rsid w:val="002C114D"/>
    <w:rsid w:val="002C4764"/>
    <w:rsid w:val="002C4C5B"/>
    <w:rsid w:val="002C502E"/>
    <w:rsid w:val="002C53E8"/>
    <w:rsid w:val="002C5981"/>
    <w:rsid w:val="002C6CF2"/>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481"/>
    <w:rsid w:val="003105AA"/>
    <w:rsid w:val="0031139B"/>
    <w:rsid w:val="0031187D"/>
    <w:rsid w:val="00312BF0"/>
    <w:rsid w:val="003162BD"/>
    <w:rsid w:val="0031630D"/>
    <w:rsid w:val="00316D57"/>
    <w:rsid w:val="00317C2E"/>
    <w:rsid w:val="00320CD3"/>
    <w:rsid w:val="0032154A"/>
    <w:rsid w:val="003222EB"/>
    <w:rsid w:val="00322753"/>
    <w:rsid w:val="003237A6"/>
    <w:rsid w:val="00324C9C"/>
    <w:rsid w:val="0032594D"/>
    <w:rsid w:val="0032664B"/>
    <w:rsid w:val="00326E3A"/>
    <w:rsid w:val="003273B0"/>
    <w:rsid w:val="00327D92"/>
    <w:rsid w:val="0033016E"/>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752"/>
    <w:rsid w:val="00362E9D"/>
    <w:rsid w:val="00362EF2"/>
    <w:rsid w:val="0036491F"/>
    <w:rsid w:val="00364B18"/>
    <w:rsid w:val="0036514C"/>
    <w:rsid w:val="00366212"/>
    <w:rsid w:val="00366411"/>
    <w:rsid w:val="00366420"/>
    <w:rsid w:val="00366CD7"/>
    <w:rsid w:val="0036763F"/>
    <w:rsid w:val="00367861"/>
    <w:rsid w:val="00370F7D"/>
    <w:rsid w:val="00371DFB"/>
    <w:rsid w:val="0037208C"/>
    <w:rsid w:val="003722AB"/>
    <w:rsid w:val="0037316C"/>
    <w:rsid w:val="003740C5"/>
    <w:rsid w:val="003745F2"/>
    <w:rsid w:val="00374DDD"/>
    <w:rsid w:val="00374DF4"/>
    <w:rsid w:val="0037524B"/>
    <w:rsid w:val="00375717"/>
    <w:rsid w:val="003769D4"/>
    <w:rsid w:val="00376A12"/>
    <w:rsid w:val="00376CD8"/>
    <w:rsid w:val="00377185"/>
    <w:rsid w:val="003777A2"/>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3F8"/>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336"/>
    <w:rsid w:val="003B7EEB"/>
    <w:rsid w:val="003C135E"/>
    <w:rsid w:val="003C182D"/>
    <w:rsid w:val="003C1CFC"/>
    <w:rsid w:val="003C23A5"/>
    <w:rsid w:val="003C393B"/>
    <w:rsid w:val="003C3E12"/>
    <w:rsid w:val="003C5107"/>
    <w:rsid w:val="003C6017"/>
    <w:rsid w:val="003C6406"/>
    <w:rsid w:val="003C672F"/>
    <w:rsid w:val="003C6BFF"/>
    <w:rsid w:val="003C7589"/>
    <w:rsid w:val="003C78A1"/>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631"/>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6F1E"/>
    <w:rsid w:val="0041774E"/>
    <w:rsid w:val="0042063A"/>
    <w:rsid w:val="004211B3"/>
    <w:rsid w:val="004221F2"/>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5B79"/>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833"/>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2513"/>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3F6C"/>
    <w:rsid w:val="004941F8"/>
    <w:rsid w:val="00494E4D"/>
    <w:rsid w:val="00494F12"/>
    <w:rsid w:val="0049546B"/>
    <w:rsid w:val="0049571E"/>
    <w:rsid w:val="0049619A"/>
    <w:rsid w:val="00497171"/>
    <w:rsid w:val="0049721E"/>
    <w:rsid w:val="0049731E"/>
    <w:rsid w:val="004975DC"/>
    <w:rsid w:val="004975F3"/>
    <w:rsid w:val="004A03BA"/>
    <w:rsid w:val="004A17B9"/>
    <w:rsid w:val="004A4330"/>
    <w:rsid w:val="004A43CC"/>
    <w:rsid w:val="004A45B8"/>
    <w:rsid w:val="004A4ABE"/>
    <w:rsid w:val="004A5605"/>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C758A"/>
    <w:rsid w:val="004D19FB"/>
    <w:rsid w:val="004D2C8E"/>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2256"/>
    <w:rsid w:val="004F2A8C"/>
    <w:rsid w:val="004F3EF1"/>
    <w:rsid w:val="004F49E5"/>
    <w:rsid w:val="004F5643"/>
    <w:rsid w:val="004F62A4"/>
    <w:rsid w:val="004F6FFF"/>
    <w:rsid w:val="004F7B7A"/>
    <w:rsid w:val="004F7C0B"/>
    <w:rsid w:val="004F7FC4"/>
    <w:rsid w:val="00500249"/>
    <w:rsid w:val="0050250F"/>
    <w:rsid w:val="00504342"/>
    <w:rsid w:val="0050495D"/>
    <w:rsid w:val="00505FD0"/>
    <w:rsid w:val="00506E59"/>
    <w:rsid w:val="0051104B"/>
    <w:rsid w:val="0051187A"/>
    <w:rsid w:val="00511D0F"/>
    <w:rsid w:val="00511D62"/>
    <w:rsid w:val="00512942"/>
    <w:rsid w:val="005139A9"/>
    <w:rsid w:val="00515FCD"/>
    <w:rsid w:val="005162BD"/>
    <w:rsid w:val="0051672E"/>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1941"/>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D1B"/>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A7C0F"/>
    <w:rsid w:val="005B0C07"/>
    <w:rsid w:val="005B1FAA"/>
    <w:rsid w:val="005B3366"/>
    <w:rsid w:val="005B3D9E"/>
    <w:rsid w:val="005B3FF6"/>
    <w:rsid w:val="005B40D7"/>
    <w:rsid w:val="005B4BFF"/>
    <w:rsid w:val="005C0894"/>
    <w:rsid w:val="005C0991"/>
    <w:rsid w:val="005C0E0B"/>
    <w:rsid w:val="005C198C"/>
    <w:rsid w:val="005C27FD"/>
    <w:rsid w:val="005C2E78"/>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BE2"/>
    <w:rsid w:val="005E0E09"/>
    <w:rsid w:val="005E0FFC"/>
    <w:rsid w:val="005E102A"/>
    <w:rsid w:val="005E2F06"/>
    <w:rsid w:val="005E30C6"/>
    <w:rsid w:val="005E59F2"/>
    <w:rsid w:val="005F0BDF"/>
    <w:rsid w:val="005F0CA4"/>
    <w:rsid w:val="005F0EE1"/>
    <w:rsid w:val="005F0F73"/>
    <w:rsid w:val="005F0FF6"/>
    <w:rsid w:val="005F19D0"/>
    <w:rsid w:val="005F19F6"/>
    <w:rsid w:val="005F3BB1"/>
    <w:rsid w:val="005F3D31"/>
    <w:rsid w:val="005F3DC9"/>
    <w:rsid w:val="005F4234"/>
    <w:rsid w:val="005F7147"/>
    <w:rsid w:val="005F7195"/>
    <w:rsid w:val="005F7C9C"/>
    <w:rsid w:val="00600A55"/>
    <w:rsid w:val="00601083"/>
    <w:rsid w:val="00601E7C"/>
    <w:rsid w:val="00605392"/>
    <w:rsid w:val="00605CE9"/>
    <w:rsid w:val="006066B3"/>
    <w:rsid w:val="006071D4"/>
    <w:rsid w:val="00611E3C"/>
    <w:rsid w:val="00612AD5"/>
    <w:rsid w:val="00613525"/>
    <w:rsid w:val="00613A10"/>
    <w:rsid w:val="0061470A"/>
    <w:rsid w:val="00614A08"/>
    <w:rsid w:val="00616473"/>
    <w:rsid w:val="00616CC8"/>
    <w:rsid w:val="006173FA"/>
    <w:rsid w:val="00617D7C"/>
    <w:rsid w:val="00617FAC"/>
    <w:rsid w:val="00620B25"/>
    <w:rsid w:val="00621527"/>
    <w:rsid w:val="006243A5"/>
    <w:rsid w:val="0062492B"/>
    <w:rsid w:val="00625823"/>
    <w:rsid w:val="00625F80"/>
    <w:rsid w:val="00625FDC"/>
    <w:rsid w:val="006264AC"/>
    <w:rsid w:val="00626B44"/>
    <w:rsid w:val="00627185"/>
    <w:rsid w:val="006279C1"/>
    <w:rsid w:val="006301A5"/>
    <w:rsid w:val="00630D7D"/>
    <w:rsid w:val="00631CCE"/>
    <w:rsid w:val="00632050"/>
    <w:rsid w:val="006327D3"/>
    <w:rsid w:val="00633392"/>
    <w:rsid w:val="0063373C"/>
    <w:rsid w:val="00633B50"/>
    <w:rsid w:val="00634763"/>
    <w:rsid w:val="00634D66"/>
    <w:rsid w:val="00635056"/>
    <w:rsid w:val="00636B24"/>
    <w:rsid w:val="00636D23"/>
    <w:rsid w:val="0063788E"/>
    <w:rsid w:val="00637C00"/>
    <w:rsid w:val="00640B6D"/>
    <w:rsid w:val="006413B5"/>
    <w:rsid w:val="00641E28"/>
    <w:rsid w:val="00642F0F"/>
    <w:rsid w:val="00643110"/>
    <w:rsid w:val="00645013"/>
    <w:rsid w:val="00647037"/>
    <w:rsid w:val="006503CD"/>
    <w:rsid w:val="00650AF0"/>
    <w:rsid w:val="00651249"/>
    <w:rsid w:val="00651999"/>
    <w:rsid w:val="00651F37"/>
    <w:rsid w:val="00652877"/>
    <w:rsid w:val="0065514F"/>
    <w:rsid w:val="0065556D"/>
    <w:rsid w:val="00655791"/>
    <w:rsid w:val="00657D00"/>
    <w:rsid w:val="00661143"/>
    <w:rsid w:val="006618B2"/>
    <w:rsid w:val="00662E3B"/>
    <w:rsid w:val="00663BDA"/>
    <w:rsid w:val="00664840"/>
    <w:rsid w:val="006651DE"/>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8FD"/>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52C2"/>
    <w:rsid w:val="006D6336"/>
    <w:rsid w:val="006D65ED"/>
    <w:rsid w:val="006D67DC"/>
    <w:rsid w:val="006D7545"/>
    <w:rsid w:val="006D7A4C"/>
    <w:rsid w:val="006E0CA3"/>
    <w:rsid w:val="006E1409"/>
    <w:rsid w:val="006E1434"/>
    <w:rsid w:val="006E1A7E"/>
    <w:rsid w:val="006E1A9E"/>
    <w:rsid w:val="006E2140"/>
    <w:rsid w:val="006E26E3"/>
    <w:rsid w:val="006E4573"/>
    <w:rsid w:val="006E4C8D"/>
    <w:rsid w:val="006E4ED5"/>
    <w:rsid w:val="006E56E3"/>
    <w:rsid w:val="006E5AEA"/>
    <w:rsid w:val="006E75C2"/>
    <w:rsid w:val="006F0371"/>
    <w:rsid w:val="006F0F8F"/>
    <w:rsid w:val="006F13EF"/>
    <w:rsid w:val="006F28AB"/>
    <w:rsid w:val="006F3AA1"/>
    <w:rsid w:val="006F5956"/>
    <w:rsid w:val="006F59D4"/>
    <w:rsid w:val="006F5BEE"/>
    <w:rsid w:val="006F5EF8"/>
    <w:rsid w:val="006F5FD3"/>
    <w:rsid w:val="006F6E18"/>
    <w:rsid w:val="006F7114"/>
    <w:rsid w:val="006F7898"/>
    <w:rsid w:val="0070041C"/>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5A37"/>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6E0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5A4E"/>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2AE1"/>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395"/>
    <w:rsid w:val="00832C01"/>
    <w:rsid w:val="00833A54"/>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2C79"/>
    <w:rsid w:val="008C3496"/>
    <w:rsid w:val="008C4C44"/>
    <w:rsid w:val="008C5265"/>
    <w:rsid w:val="008C60DB"/>
    <w:rsid w:val="008C6A40"/>
    <w:rsid w:val="008C73DD"/>
    <w:rsid w:val="008C7686"/>
    <w:rsid w:val="008D17BD"/>
    <w:rsid w:val="008D2D16"/>
    <w:rsid w:val="008D2F4A"/>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32D8"/>
    <w:rsid w:val="008F4B64"/>
    <w:rsid w:val="008F508E"/>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16C70"/>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0712"/>
    <w:rsid w:val="00951D66"/>
    <w:rsid w:val="00951E6C"/>
    <w:rsid w:val="009520E9"/>
    <w:rsid w:val="00952C3C"/>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473D"/>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4FD2"/>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5EE"/>
    <w:rsid w:val="009C0AFB"/>
    <w:rsid w:val="009C0F66"/>
    <w:rsid w:val="009C2E3B"/>
    <w:rsid w:val="009C34C7"/>
    <w:rsid w:val="009C488F"/>
    <w:rsid w:val="009C4ADE"/>
    <w:rsid w:val="009C56B5"/>
    <w:rsid w:val="009C64B6"/>
    <w:rsid w:val="009C7D8F"/>
    <w:rsid w:val="009D0CF3"/>
    <w:rsid w:val="009D113C"/>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0764"/>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492C"/>
    <w:rsid w:val="00A15F3B"/>
    <w:rsid w:val="00A165B6"/>
    <w:rsid w:val="00A17BE0"/>
    <w:rsid w:val="00A17C52"/>
    <w:rsid w:val="00A2017C"/>
    <w:rsid w:val="00A20B5C"/>
    <w:rsid w:val="00A214CE"/>
    <w:rsid w:val="00A22007"/>
    <w:rsid w:val="00A221B9"/>
    <w:rsid w:val="00A22C62"/>
    <w:rsid w:val="00A22C7F"/>
    <w:rsid w:val="00A2334B"/>
    <w:rsid w:val="00A2358A"/>
    <w:rsid w:val="00A23CA1"/>
    <w:rsid w:val="00A243B6"/>
    <w:rsid w:val="00A246B3"/>
    <w:rsid w:val="00A25825"/>
    <w:rsid w:val="00A2658A"/>
    <w:rsid w:val="00A27492"/>
    <w:rsid w:val="00A30878"/>
    <w:rsid w:val="00A30CDB"/>
    <w:rsid w:val="00A31F51"/>
    <w:rsid w:val="00A33482"/>
    <w:rsid w:val="00A33C58"/>
    <w:rsid w:val="00A3461C"/>
    <w:rsid w:val="00A3508E"/>
    <w:rsid w:val="00A35539"/>
    <w:rsid w:val="00A35665"/>
    <w:rsid w:val="00A35A42"/>
    <w:rsid w:val="00A36148"/>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0A92"/>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01F7"/>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E7D31"/>
    <w:rsid w:val="00AF13E8"/>
    <w:rsid w:val="00AF23A1"/>
    <w:rsid w:val="00AF2EA4"/>
    <w:rsid w:val="00AF40DC"/>
    <w:rsid w:val="00AF5C18"/>
    <w:rsid w:val="00AF7718"/>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3CBB"/>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196F"/>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3997"/>
    <w:rsid w:val="00B841D1"/>
    <w:rsid w:val="00B852E4"/>
    <w:rsid w:val="00B85ACB"/>
    <w:rsid w:val="00B86432"/>
    <w:rsid w:val="00B871CC"/>
    <w:rsid w:val="00B87712"/>
    <w:rsid w:val="00B87770"/>
    <w:rsid w:val="00B87A7F"/>
    <w:rsid w:val="00B91165"/>
    <w:rsid w:val="00B91CBA"/>
    <w:rsid w:val="00B935F9"/>
    <w:rsid w:val="00B93959"/>
    <w:rsid w:val="00B94923"/>
    <w:rsid w:val="00B9756C"/>
    <w:rsid w:val="00BA028F"/>
    <w:rsid w:val="00BA02B8"/>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7B4"/>
    <w:rsid w:val="00BC4C76"/>
    <w:rsid w:val="00BC530B"/>
    <w:rsid w:val="00BC534A"/>
    <w:rsid w:val="00BC6102"/>
    <w:rsid w:val="00BC6541"/>
    <w:rsid w:val="00BC669C"/>
    <w:rsid w:val="00BC7173"/>
    <w:rsid w:val="00BC7287"/>
    <w:rsid w:val="00BD1E43"/>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6E9"/>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2705A"/>
    <w:rsid w:val="00C30954"/>
    <w:rsid w:val="00C30E0C"/>
    <w:rsid w:val="00C313AD"/>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5E5F"/>
    <w:rsid w:val="00C46611"/>
    <w:rsid w:val="00C50E34"/>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216"/>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96450"/>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4D33"/>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4AEF"/>
    <w:rsid w:val="00D36BC6"/>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5AF5"/>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AD4"/>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7D4"/>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313"/>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6DE8"/>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9EB"/>
    <w:rsid w:val="00EC6E9C"/>
    <w:rsid w:val="00ED0833"/>
    <w:rsid w:val="00ED0D06"/>
    <w:rsid w:val="00ED0E22"/>
    <w:rsid w:val="00ED3111"/>
    <w:rsid w:val="00ED5FCC"/>
    <w:rsid w:val="00EE0A0D"/>
    <w:rsid w:val="00EE12B2"/>
    <w:rsid w:val="00EE1FE3"/>
    <w:rsid w:val="00EE22B6"/>
    <w:rsid w:val="00EE35C5"/>
    <w:rsid w:val="00EE38FD"/>
    <w:rsid w:val="00EE51A0"/>
    <w:rsid w:val="00EE675B"/>
    <w:rsid w:val="00EE6C1A"/>
    <w:rsid w:val="00EE748D"/>
    <w:rsid w:val="00EF1D15"/>
    <w:rsid w:val="00EF248A"/>
    <w:rsid w:val="00EF3D36"/>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116"/>
    <w:rsid w:val="00F21D34"/>
    <w:rsid w:val="00F22AC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C95"/>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4E8"/>
    <w:rsid w:val="00FF7B96"/>
    <w:rsid w:val="0A776120"/>
    <w:rsid w:val="0AE5701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D273F971-5B18-45D1-85FE-77769B66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2"/>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nhideWhenUsed/>
    <w:locked/>
    <w:rsid w:val="005B0C07"/>
    <w:rPr>
      <w:sz w:val="18"/>
      <w:szCs w:val="18"/>
    </w:rPr>
  </w:style>
  <w:style w:type="character" w:customStyle="1" w:styleId="FootnoteTextChar">
    <w:name w:val="Footnote Text Char"/>
    <w:aliases w:val="HRB_Footnote text Char"/>
    <w:basedOn w:val="DefaultParagraphFont"/>
    <w:link w:val="FootnoteText"/>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locked/>
    <w:rsid w:val="00C45376"/>
    <w:rPr>
      <w:sz w:val="16"/>
      <w:szCs w:val="16"/>
    </w:rPr>
  </w:style>
  <w:style w:type="paragraph" w:styleId="CommentText">
    <w:name w:val="annotation text"/>
    <w:basedOn w:val="Normal"/>
    <w:link w:val="CommentTextChar"/>
    <w:locked/>
    <w:rsid w:val="00C45376"/>
    <w:rPr>
      <w:rFonts w:asciiTheme="minorHAnsi" w:hAnsiTheme="minorHAnsi"/>
      <w:szCs w:val="20"/>
    </w:rPr>
  </w:style>
  <w:style w:type="character" w:customStyle="1" w:styleId="CommentTextChar">
    <w:name w:val="Comment Text Char"/>
    <w:basedOn w:val="DefaultParagraphFont"/>
    <w:link w:val="CommentText"/>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4"/>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1"/>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1"/>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1"/>
      </w:numPr>
    </w:pPr>
  </w:style>
  <w:style w:type="paragraph" w:customStyle="1" w:styleId="HRBHeadingNumberedL4">
    <w:name w:val="HRB_Heading_Numbered_L4"/>
    <w:basedOn w:val="HRBHeadingL4"/>
    <w:next w:val="HRBGeneralText"/>
    <w:uiPriority w:val="15"/>
    <w:qFormat/>
    <w:locked/>
    <w:rsid w:val="00693A61"/>
    <w:pPr>
      <w:numPr>
        <w:ilvl w:val="3"/>
        <w:numId w:val="1"/>
      </w:numPr>
    </w:pPr>
  </w:style>
  <w:style w:type="paragraph" w:customStyle="1" w:styleId="HRBHeadingNumberedL5">
    <w:name w:val="HRB_Heading_Numbered_L5"/>
    <w:basedOn w:val="HRBHeadingL5"/>
    <w:next w:val="HRBGeneralText"/>
    <w:uiPriority w:val="15"/>
    <w:qFormat/>
    <w:locked/>
    <w:rsid w:val="00693A61"/>
    <w:pPr>
      <w:numPr>
        <w:ilvl w:val="4"/>
        <w:numId w:val="1"/>
      </w:numPr>
    </w:pPr>
  </w:style>
  <w:style w:type="paragraph" w:customStyle="1" w:styleId="HRBHeadingNumberedL6">
    <w:name w:val="HRB_Heading_Numbered_L6"/>
    <w:basedOn w:val="HRBHeadingL6"/>
    <w:next w:val="HRBGeneralText"/>
    <w:uiPriority w:val="15"/>
    <w:qFormat/>
    <w:locked/>
    <w:rsid w:val="00693A61"/>
    <w:pPr>
      <w:numPr>
        <w:ilvl w:val="5"/>
        <w:numId w:val="1"/>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3"/>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3"/>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3"/>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3"/>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3"/>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3"/>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Normal"/>
    <w:uiPriority w:val="15"/>
    <w:qFormat/>
    <w:rsid w:val="00F67555"/>
    <w:pPr>
      <w:pBdr>
        <w:top w:val="single" w:sz="36" w:space="1" w:color="FFF200" w:themeColor="accent6"/>
      </w:pBdr>
      <w:ind w:right="8497"/>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5"/>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 w:type="character" w:styleId="UnresolvedMention">
    <w:name w:val="Unresolved Mention"/>
    <w:basedOn w:val="DefaultParagraphFont"/>
    <w:uiPriority w:val="99"/>
    <w:semiHidden/>
    <w:unhideWhenUsed/>
    <w:locked/>
    <w:rsid w:val="00D3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changes@hrb.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ntchanges@hrb.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rb.ie/funding/funding-schemes/before-you-apply/all-grant-policies/no-cost-extens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080860"/>
    <w:rsid w:val="000F37EC"/>
    <w:rsid w:val="0014744D"/>
    <w:rsid w:val="00152459"/>
    <w:rsid w:val="00172025"/>
    <w:rsid w:val="001916A8"/>
    <w:rsid w:val="001A3BFF"/>
    <w:rsid w:val="001E0E70"/>
    <w:rsid w:val="001F79C9"/>
    <w:rsid w:val="00230698"/>
    <w:rsid w:val="00323F04"/>
    <w:rsid w:val="00336248"/>
    <w:rsid w:val="0036614E"/>
    <w:rsid w:val="003A0C00"/>
    <w:rsid w:val="003B2D48"/>
    <w:rsid w:val="004D2C8E"/>
    <w:rsid w:val="00516C61"/>
    <w:rsid w:val="00571702"/>
    <w:rsid w:val="00582547"/>
    <w:rsid w:val="00610BB8"/>
    <w:rsid w:val="00633FDB"/>
    <w:rsid w:val="006739EF"/>
    <w:rsid w:val="006A3AC1"/>
    <w:rsid w:val="006E273E"/>
    <w:rsid w:val="00712C52"/>
    <w:rsid w:val="0072061D"/>
    <w:rsid w:val="00773B0A"/>
    <w:rsid w:val="007758F0"/>
    <w:rsid w:val="00847B89"/>
    <w:rsid w:val="008A1FB5"/>
    <w:rsid w:val="008C50E5"/>
    <w:rsid w:val="00946177"/>
    <w:rsid w:val="009C4D80"/>
    <w:rsid w:val="009E2E2D"/>
    <w:rsid w:val="00A47A62"/>
    <w:rsid w:val="00A77230"/>
    <w:rsid w:val="00B957B4"/>
    <w:rsid w:val="00C708A2"/>
    <w:rsid w:val="00CD215B"/>
    <w:rsid w:val="00CF0568"/>
    <w:rsid w:val="00D65FB9"/>
    <w:rsid w:val="00DB7039"/>
    <w:rsid w:val="00E11F6A"/>
    <w:rsid w:val="00E32E13"/>
    <w:rsid w:val="00E506BB"/>
    <w:rsid w:val="00E56381"/>
    <w:rsid w:val="00F867D1"/>
    <w:rsid w:val="00FD4360"/>
    <w:rsid w:val="00FF1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ec2fd3-6f58-46ab-a96e-e85cbcf7f322">
      <UserInfo>
        <DisplayName>Anne Cody</DisplayName>
        <AccountId>30</AccountId>
        <AccountType/>
      </UserInfo>
      <UserInfo>
        <DisplayName>Oonagh Ward</DisplayName>
        <AccountId>103</AccountId>
        <AccountType/>
      </UserInfo>
      <UserInfo>
        <DisplayName>Caitriona Creely</DisplayName>
        <AccountId>29</AccountId>
        <AccountType/>
      </UserInfo>
      <UserInfo>
        <DisplayName>Teresa Maguire</DisplayName>
        <AccountId>31</AccountId>
        <AccountType/>
      </UserInfo>
      <UserInfo>
        <DisplayName>Annalisa Montesanti</DisplayName>
        <AccountId>23</AccountId>
        <AccountType/>
      </UserInfo>
    </SharedWithUsers>
    <lcf76f155ced4ddcb4097134ff3c332f xmlns="fc8f5da5-ee3b-4523-b1d4-6d770b1d8e9c">
      <Terms xmlns="http://schemas.microsoft.com/office/infopath/2007/PartnerControls"/>
    </lcf76f155ced4ddcb4097134ff3c332f>
    <TaxCatchAll xmlns="1dec2fd3-6f58-46ab-a96e-e85cbcf7f322" xsi:nil="true"/>
    <Time xmlns="fc8f5da5-ee3b-4523-b1d4-6d770b1d8e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EF897-A9C0-4D52-AD81-79D1CD5D541E}">
  <ds:schemaRefs>
    <ds:schemaRef ds:uri="http://schemas.microsoft.com/office/2006/metadata/properties"/>
    <ds:schemaRef ds:uri="http://schemas.microsoft.com/office/infopath/2007/PartnerControls"/>
    <ds:schemaRef ds:uri="7b41fe4f-18ce-4705-8a0b-9750bce1dd0b"/>
  </ds:schemaRefs>
</ds:datastoreItem>
</file>

<file path=customXml/itemProps2.xml><?xml version="1.0" encoding="utf-8"?>
<ds:datastoreItem xmlns:ds="http://schemas.openxmlformats.org/officeDocument/2006/customXml" ds:itemID="{220A4952-5884-4D25-8850-D12B3ECFC4E8}"/>
</file>

<file path=customXml/itemProps3.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4.xml><?xml version="1.0" encoding="utf-8"?>
<ds:datastoreItem xmlns:ds="http://schemas.openxmlformats.org/officeDocument/2006/customXml" ds:itemID="{9CD02A4B-24AE-460D-99F9-8ABD41C25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29</TotalTime>
  <Pages>5</Pages>
  <Words>1237</Words>
  <Characters>6617</Characters>
  <Application>Microsoft Office Word</Application>
  <DocSecurity>0</DocSecurity>
  <Lines>55</Lines>
  <Paragraphs>15</Paragraphs>
  <ScaleCrop>false</ScaleCrop>
  <Company>Microsoft</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No-cost Extensions Policy</dc:title>
  <dc:subject/>
  <dc:creator>ValerieHaslam</dc:creator>
  <cp:keywords/>
  <cp:lastModifiedBy>Caitriona Creely</cp:lastModifiedBy>
  <cp:revision>38</cp:revision>
  <cp:lastPrinted>2018-11-15T01:03:00Z</cp:lastPrinted>
  <dcterms:created xsi:type="dcterms:W3CDTF">2024-03-20T10:32:00Z</dcterms:created>
  <dcterms:modified xsi:type="dcterms:W3CDTF">2024-03-22T11:11:00Z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Order">
    <vt:r8>27600</vt:r8>
  </property>
</Properties>
</file>