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22" w:rsidRDefault="00A35B1C" w:rsidP="005D6022">
      <w:r>
        <w:rPr>
          <w:noProof/>
          <w:lang w:val="en-IE" w:eastAsia="en-IE"/>
        </w:rPr>
        <w:drawing>
          <wp:inline distT="0" distB="0" distL="0" distR="0" wp14:anchorId="7E50C44A" wp14:editId="7B874550">
            <wp:extent cx="2505456" cy="9083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_logo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5456" cy="908304"/>
                    </a:xfrm>
                    <a:prstGeom prst="rect">
                      <a:avLst/>
                    </a:prstGeom>
                  </pic:spPr>
                </pic:pic>
              </a:graphicData>
            </a:graphic>
          </wp:inline>
        </w:drawing>
      </w:r>
    </w:p>
    <w:p w:rsidR="005D6022" w:rsidRDefault="005D6022" w:rsidP="005D6022"/>
    <w:p w:rsidR="005D6022" w:rsidRDefault="005D6022" w:rsidP="005D6022"/>
    <w:p w:rsidR="00A35B1C" w:rsidRDefault="00A35B1C" w:rsidP="005D6022"/>
    <w:p w:rsidR="00A35B1C" w:rsidRDefault="00A35B1C" w:rsidP="005D6022"/>
    <w:p w:rsidR="00A35B1C" w:rsidRDefault="00A35B1C" w:rsidP="005D6022"/>
    <w:p w:rsidR="005D6022" w:rsidRDefault="005D6022" w:rsidP="00A35B1C">
      <w:pPr>
        <w:pStyle w:val="Title"/>
      </w:pPr>
      <w:r>
        <w:t>H</w:t>
      </w:r>
      <w:r w:rsidR="00A35B1C">
        <w:t xml:space="preserve">ealth </w:t>
      </w:r>
      <w:r>
        <w:t>R</w:t>
      </w:r>
      <w:r w:rsidR="00A35B1C">
        <w:t xml:space="preserve">esearch </w:t>
      </w:r>
      <w:r>
        <w:t>B</w:t>
      </w:r>
      <w:r w:rsidR="00A35B1C">
        <w:t>oard</w:t>
      </w:r>
      <w:r>
        <w:t xml:space="preserve"> – Document Retention Policy </w:t>
      </w:r>
    </w:p>
    <w:p w:rsidR="005D6022" w:rsidRDefault="005D6022" w:rsidP="005D6022"/>
    <w:p w:rsidR="005D6022" w:rsidRDefault="005D6022" w:rsidP="005D6022"/>
    <w:p w:rsidR="00A35B1C" w:rsidRDefault="00A35B1C" w:rsidP="005D6022"/>
    <w:p w:rsidR="00A35B1C" w:rsidRDefault="00A35B1C" w:rsidP="005D6022"/>
    <w:tbl>
      <w:tblPr>
        <w:tblStyle w:val="TableGrid"/>
        <w:tblW w:w="9067" w:type="dxa"/>
        <w:tblLook w:val="04A0" w:firstRow="1" w:lastRow="0" w:firstColumn="1" w:lastColumn="0" w:noHBand="0" w:noVBand="1"/>
      </w:tblPr>
      <w:tblGrid>
        <w:gridCol w:w="3256"/>
        <w:gridCol w:w="5811"/>
      </w:tblGrid>
      <w:tr w:rsidR="00A35B1C" w:rsidRPr="00A3503F" w:rsidTr="00697747">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5B1C" w:rsidRPr="00A3503F" w:rsidRDefault="00A35B1C" w:rsidP="00697747">
            <w:pPr>
              <w:spacing w:before="120" w:after="120" w:line="276" w:lineRule="auto"/>
              <w:rPr>
                <w:rFonts w:ascii="Calibri" w:hAnsi="Calibri" w:cs="Calibri"/>
                <w:b/>
                <w:bCs/>
              </w:rPr>
            </w:pPr>
            <w:r w:rsidRPr="00A3503F">
              <w:rPr>
                <w:rFonts w:ascii="Calibri" w:hAnsi="Calibri" w:cs="Calibri"/>
                <w:b/>
                <w:bCs/>
              </w:rPr>
              <w:t>Title:</w:t>
            </w:r>
          </w:p>
        </w:tc>
        <w:tc>
          <w:tcPr>
            <w:tcW w:w="5811" w:type="dxa"/>
            <w:tcBorders>
              <w:top w:val="single" w:sz="4" w:space="0" w:color="auto"/>
              <w:left w:val="single" w:sz="4" w:space="0" w:color="auto"/>
              <w:bottom w:val="single" w:sz="4" w:space="0" w:color="auto"/>
              <w:right w:val="single" w:sz="4" w:space="0" w:color="auto"/>
            </w:tcBorders>
          </w:tcPr>
          <w:p w:rsidR="00A35B1C" w:rsidRPr="00A3503F" w:rsidRDefault="00736746" w:rsidP="00697747">
            <w:pPr>
              <w:spacing w:before="120" w:after="120" w:line="276" w:lineRule="auto"/>
              <w:rPr>
                <w:rFonts w:ascii="Calibri" w:hAnsi="Calibri" w:cs="Calibri"/>
              </w:rPr>
            </w:pPr>
            <w:r>
              <w:rPr>
                <w:rFonts w:ascii="Calibri" w:hAnsi="Calibri" w:cs="Calibri"/>
              </w:rPr>
              <w:t>Document R</w:t>
            </w:r>
            <w:r w:rsidR="00A35B1C">
              <w:rPr>
                <w:rFonts w:ascii="Calibri" w:hAnsi="Calibri" w:cs="Calibri"/>
              </w:rPr>
              <w:t xml:space="preserve">etention </w:t>
            </w:r>
            <w:r>
              <w:rPr>
                <w:rFonts w:ascii="Calibri" w:hAnsi="Calibri" w:cs="Calibri"/>
              </w:rPr>
              <w:t>P</w:t>
            </w:r>
            <w:r w:rsidR="00A35B1C">
              <w:rPr>
                <w:rFonts w:ascii="Calibri" w:hAnsi="Calibri" w:cs="Calibri"/>
              </w:rPr>
              <w:t>olicy</w:t>
            </w:r>
          </w:p>
        </w:tc>
      </w:tr>
      <w:tr w:rsidR="00A35B1C" w:rsidRPr="00A3503F" w:rsidTr="00697747">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5B1C" w:rsidRPr="00A3503F" w:rsidRDefault="00A35B1C" w:rsidP="00697747">
            <w:pPr>
              <w:spacing w:before="120" w:after="120" w:line="276" w:lineRule="auto"/>
              <w:rPr>
                <w:rFonts w:ascii="Calibri" w:hAnsi="Calibri" w:cs="Calibri"/>
                <w:b/>
                <w:bCs/>
              </w:rPr>
            </w:pPr>
            <w:r w:rsidRPr="00A3503F">
              <w:rPr>
                <w:rFonts w:ascii="Calibri" w:hAnsi="Calibri" w:cs="Calibri"/>
                <w:b/>
                <w:bCs/>
              </w:rPr>
              <w:t>Document Type:</w:t>
            </w:r>
          </w:p>
        </w:tc>
        <w:tc>
          <w:tcPr>
            <w:tcW w:w="5811" w:type="dxa"/>
            <w:tcBorders>
              <w:top w:val="single" w:sz="4" w:space="0" w:color="auto"/>
              <w:left w:val="single" w:sz="4" w:space="0" w:color="auto"/>
              <w:bottom w:val="single" w:sz="4" w:space="0" w:color="auto"/>
              <w:right w:val="single" w:sz="4" w:space="0" w:color="auto"/>
            </w:tcBorders>
          </w:tcPr>
          <w:p w:rsidR="00A35B1C" w:rsidRPr="00A3503F" w:rsidRDefault="00A35B1C" w:rsidP="00697747">
            <w:pPr>
              <w:spacing w:before="120" w:after="120" w:line="276" w:lineRule="auto"/>
              <w:rPr>
                <w:rFonts w:ascii="Calibri" w:hAnsi="Calibri" w:cs="Calibri"/>
              </w:rPr>
            </w:pPr>
            <w:r>
              <w:rPr>
                <w:rFonts w:ascii="Calibri" w:hAnsi="Calibri" w:cs="Calibri"/>
              </w:rPr>
              <w:t>Policy</w:t>
            </w:r>
          </w:p>
        </w:tc>
      </w:tr>
      <w:tr w:rsidR="00A35B1C" w:rsidRPr="00A3503F" w:rsidTr="00697747">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5B1C" w:rsidRPr="00A3503F" w:rsidRDefault="00A35B1C" w:rsidP="00697747">
            <w:pPr>
              <w:spacing w:before="120" w:after="120" w:line="276" w:lineRule="auto"/>
              <w:rPr>
                <w:rFonts w:ascii="Calibri" w:hAnsi="Calibri" w:cs="Calibri"/>
                <w:b/>
                <w:bCs/>
              </w:rPr>
            </w:pPr>
            <w:r w:rsidRPr="00A3503F">
              <w:rPr>
                <w:rFonts w:ascii="Calibri" w:hAnsi="Calibri" w:cs="Calibri"/>
                <w:b/>
                <w:bCs/>
              </w:rPr>
              <w:t xml:space="preserve">Reference/version no: </w:t>
            </w:r>
          </w:p>
        </w:tc>
        <w:tc>
          <w:tcPr>
            <w:tcW w:w="5811" w:type="dxa"/>
            <w:tcBorders>
              <w:top w:val="single" w:sz="4" w:space="0" w:color="auto"/>
              <w:left w:val="single" w:sz="4" w:space="0" w:color="auto"/>
              <w:bottom w:val="single" w:sz="4" w:space="0" w:color="auto"/>
              <w:right w:val="single" w:sz="4" w:space="0" w:color="auto"/>
            </w:tcBorders>
          </w:tcPr>
          <w:p w:rsidR="00A35B1C" w:rsidRPr="00A3503F" w:rsidRDefault="00A35B1C" w:rsidP="00697747">
            <w:pPr>
              <w:spacing w:before="120" w:after="120" w:line="276" w:lineRule="auto"/>
              <w:rPr>
                <w:rFonts w:ascii="Calibri" w:hAnsi="Calibri" w:cs="Calibri"/>
              </w:rPr>
            </w:pPr>
            <w:r w:rsidRPr="00A3503F">
              <w:rPr>
                <w:rFonts w:ascii="Calibri" w:hAnsi="Calibri" w:cs="Calibri"/>
              </w:rPr>
              <w:t>1</w:t>
            </w:r>
          </w:p>
        </w:tc>
      </w:tr>
      <w:tr w:rsidR="00A35B1C" w:rsidRPr="00A3503F" w:rsidTr="00697747">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5B1C" w:rsidRPr="00A3503F" w:rsidRDefault="00A35B1C" w:rsidP="00697747">
            <w:pPr>
              <w:spacing w:before="120" w:after="120" w:line="276" w:lineRule="auto"/>
              <w:rPr>
                <w:rFonts w:ascii="Calibri" w:hAnsi="Calibri" w:cs="Calibri"/>
                <w:b/>
                <w:bCs/>
              </w:rPr>
            </w:pPr>
            <w:r w:rsidRPr="00A3503F">
              <w:rPr>
                <w:rFonts w:ascii="Calibri" w:hAnsi="Calibri" w:cs="Calibri"/>
                <w:b/>
                <w:bCs/>
              </w:rPr>
              <w:t>Status:</w:t>
            </w:r>
          </w:p>
        </w:tc>
        <w:tc>
          <w:tcPr>
            <w:tcW w:w="5811" w:type="dxa"/>
            <w:tcBorders>
              <w:top w:val="single" w:sz="4" w:space="0" w:color="auto"/>
              <w:left w:val="single" w:sz="4" w:space="0" w:color="auto"/>
              <w:bottom w:val="single" w:sz="4" w:space="0" w:color="auto"/>
              <w:right w:val="single" w:sz="4" w:space="0" w:color="auto"/>
            </w:tcBorders>
          </w:tcPr>
          <w:p w:rsidR="00A35B1C" w:rsidRPr="00A3503F" w:rsidRDefault="00A35B1C" w:rsidP="00697747">
            <w:pPr>
              <w:spacing w:before="120" w:after="120" w:line="276" w:lineRule="auto"/>
              <w:rPr>
                <w:rFonts w:ascii="Calibri" w:hAnsi="Calibri" w:cs="Calibri"/>
              </w:rPr>
            </w:pPr>
            <w:r>
              <w:rPr>
                <w:rFonts w:ascii="Calibri" w:hAnsi="Calibri" w:cs="Calibri"/>
              </w:rPr>
              <w:t>Final</w:t>
            </w:r>
          </w:p>
        </w:tc>
      </w:tr>
      <w:tr w:rsidR="00A35B1C" w:rsidRPr="00A3503F" w:rsidTr="00697747">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5B1C" w:rsidRPr="00A3503F" w:rsidRDefault="00A35B1C" w:rsidP="00697747">
            <w:pPr>
              <w:spacing w:before="120" w:after="120" w:line="276" w:lineRule="auto"/>
              <w:rPr>
                <w:rFonts w:ascii="Calibri" w:hAnsi="Calibri" w:cs="Calibri"/>
                <w:b/>
                <w:bCs/>
              </w:rPr>
            </w:pPr>
            <w:r w:rsidRPr="00A3503F">
              <w:rPr>
                <w:rFonts w:ascii="Calibri" w:hAnsi="Calibri" w:cs="Calibri"/>
                <w:b/>
                <w:bCs/>
              </w:rPr>
              <w:t>Last Updated:</w:t>
            </w:r>
          </w:p>
        </w:tc>
        <w:tc>
          <w:tcPr>
            <w:tcW w:w="5811" w:type="dxa"/>
            <w:tcBorders>
              <w:top w:val="single" w:sz="4" w:space="0" w:color="auto"/>
              <w:left w:val="single" w:sz="4" w:space="0" w:color="auto"/>
              <w:bottom w:val="single" w:sz="4" w:space="0" w:color="auto"/>
              <w:right w:val="single" w:sz="4" w:space="0" w:color="auto"/>
            </w:tcBorders>
          </w:tcPr>
          <w:p w:rsidR="00A35B1C" w:rsidRPr="00A3503F" w:rsidRDefault="002264D8" w:rsidP="00697747">
            <w:pPr>
              <w:spacing w:before="120" w:after="120" w:line="276" w:lineRule="auto"/>
              <w:rPr>
                <w:rFonts w:ascii="Calibri" w:hAnsi="Calibri" w:cs="Calibri"/>
              </w:rPr>
            </w:pPr>
            <w:r>
              <w:rPr>
                <w:rFonts w:ascii="Calibri" w:hAnsi="Calibri" w:cs="Calibri"/>
              </w:rPr>
              <w:t>18</w:t>
            </w:r>
            <w:r w:rsidR="00A35B1C">
              <w:rPr>
                <w:rFonts w:ascii="Calibri" w:hAnsi="Calibri" w:cs="Calibri"/>
              </w:rPr>
              <w:t xml:space="preserve"> May 2018</w:t>
            </w:r>
          </w:p>
        </w:tc>
      </w:tr>
      <w:tr w:rsidR="00A35B1C" w:rsidRPr="00A3503F" w:rsidTr="00697747">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5B1C" w:rsidRPr="00A3503F" w:rsidRDefault="00A35B1C" w:rsidP="00697747">
            <w:pPr>
              <w:spacing w:before="120" w:after="120" w:line="276" w:lineRule="auto"/>
              <w:rPr>
                <w:rFonts w:ascii="Calibri" w:hAnsi="Calibri" w:cs="Calibri"/>
                <w:b/>
                <w:bCs/>
              </w:rPr>
            </w:pPr>
            <w:r w:rsidRPr="00A3503F">
              <w:rPr>
                <w:rFonts w:ascii="Calibri" w:hAnsi="Calibri" w:cs="Calibri"/>
                <w:b/>
                <w:bCs/>
              </w:rPr>
              <w:t>Background:</w:t>
            </w:r>
          </w:p>
        </w:tc>
        <w:tc>
          <w:tcPr>
            <w:tcW w:w="5811" w:type="dxa"/>
            <w:tcBorders>
              <w:top w:val="single" w:sz="4" w:space="0" w:color="auto"/>
              <w:left w:val="single" w:sz="4" w:space="0" w:color="auto"/>
              <w:bottom w:val="single" w:sz="4" w:space="0" w:color="auto"/>
              <w:right w:val="single" w:sz="4" w:space="0" w:color="auto"/>
            </w:tcBorders>
          </w:tcPr>
          <w:p w:rsidR="00A35B1C" w:rsidRPr="00A3503F" w:rsidRDefault="00A35B1C" w:rsidP="00697747">
            <w:pPr>
              <w:spacing w:before="120" w:after="120" w:line="276" w:lineRule="auto"/>
              <w:rPr>
                <w:rFonts w:ascii="Calibri" w:hAnsi="Calibri" w:cs="Calibri"/>
              </w:rPr>
            </w:pPr>
            <w:r>
              <w:t>This retention policy sets out how long HRB will hold different categories of records and data.</w:t>
            </w:r>
          </w:p>
        </w:tc>
      </w:tr>
    </w:tbl>
    <w:p w:rsidR="00A35B1C" w:rsidRDefault="00A35B1C" w:rsidP="005D6022"/>
    <w:p w:rsidR="005D6022" w:rsidRDefault="005D6022" w:rsidP="005D6022"/>
    <w:p w:rsidR="00626FCF" w:rsidRDefault="00A92419">
      <w:pPr>
        <w:spacing w:line="240" w:lineRule="auto"/>
      </w:pPr>
      <w:r>
        <w:br w:type="page"/>
      </w:r>
    </w:p>
    <w:sdt>
      <w:sdtPr>
        <w:rPr>
          <w:rFonts w:asciiTheme="minorHAnsi" w:eastAsiaTheme="minorHAnsi" w:hAnsiTheme="minorHAnsi" w:cstheme="minorBidi"/>
          <w:b w:val="0"/>
          <w:bCs w:val="0"/>
          <w:color w:val="auto"/>
          <w:sz w:val="22"/>
          <w:szCs w:val="22"/>
        </w:rPr>
        <w:id w:val="1216781662"/>
        <w:docPartObj>
          <w:docPartGallery w:val="Table of Contents"/>
          <w:docPartUnique/>
        </w:docPartObj>
      </w:sdtPr>
      <w:sdtEndPr>
        <w:rPr>
          <w:noProof/>
        </w:rPr>
      </w:sdtEndPr>
      <w:sdtContent>
        <w:p w:rsidR="00626FCF" w:rsidRDefault="00626FCF">
          <w:pPr>
            <w:pStyle w:val="TOCHeading"/>
          </w:pPr>
          <w:r>
            <w:t>Table of Contents</w:t>
          </w:r>
        </w:p>
        <w:p w:rsidR="00697747" w:rsidRDefault="00626FCF">
          <w:pPr>
            <w:pStyle w:val="TOC1"/>
            <w:tabs>
              <w:tab w:val="right" w:leader="dot" w:pos="9743"/>
            </w:tabs>
            <w:rPr>
              <w:rFonts w:eastAsiaTheme="minorEastAsia"/>
              <w:noProof/>
              <w:lang w:val="en-IE" w:eastAsia="en-IE"/>
            </w:rPr>
          </w:pPr>
          <w:r>
            <w:fldChar w:fldCharType="begin"/>
          </w:r>
          <w:r>
            <w:instrText xml:space="preserve"> TOC \o "1-3" \h \z \u </w:instrText>
          </w:r>
          <w:r>
            <w:fldChar w:fldCharType="separate"/>
          </w:r>
          <w:hyperlink w:anchor="_Toc514426045" w:history="1">
            <w:r w:rsidR="00697747" w:rsidRPr="000E7C52">
              <w:rPr>
                <w:rStyle w:val="Hyperlink"/>
                <w:noProof/>
              </w:rPr>
              <w:t>The purpose of this policy</w:t>
            </w:r>
            <w:r w:rsidR="00697747">
              <w:rPr>
                <w:noProof/>
                <w:webHidden/>
              </w:rPr>
              <w:tab/>
            </w:r>
            <w:r w:rsidR="00697747">
              <w:rPr>
                <w:noProof/>
                <w:webHidden/>
              </w:rPr>
              <w:fldChar w:fldCharType="begin"/>
            </w:r>
            <w:r w:rsidR="00697747">
              <w:rPr>
                <w:noProof/>
                <w:webHidden/>
              </w:rPr>
              <w:instrText xml:space="preserve"> PAGEREF _Toc514426045 \h </w:instrText>
            </w:r>
            <w:r w:rsidR="00697747">
              <w:rPr>
                <w:noProof/>
                <w:webHidden/>
              </w:rPr>
            </w:r>
            <w:r w:rsidR="00697747">
              <w:rPr>
                <w:noProof/>
                <w:webHidden/>
              </w:rPr>
              <w:fldChar w:fldCharType="separate"/>
            </w:r>
            <w:r w:rsidR="00697747">
              <w:rPr>
                <w:noProof/>
                <w:webHidden/>
              </w:rPr>
              <w:t>3</w:t>
            </w:r>
            <w:r w:rsidR="00697747">
              <w:rPr>
                <w:noProof/>
                <w:webHidden/>
              </w:rPr>
              <w:fldChar w:fldCharType="end"/>
            </w:r>
          </w:hyperlink>
        </w:p>
        <w:p w:rsidR="00697747" w:rsidRDefault="002F4E0C">
          <w:pPr>
            <w:pStyle w:val="TOC2"/>
            <w:tabs>
              <w:tab w:val="right" w:leader="dot" w:pos="9743"/>
            </w:tabs>
            <w:rPr>
              <w:rFonts w:eastAsiaTheme="minorEastAsia"/>
              <w:noProof/>
              <w:lang w:val="en-IE" w:eastAsia="en-IE"/>
            </w:rPr>
          </w:pPr>
          <w:hyperlink w:anchor="_Toc514426046" w:history="1">
            <w:r w:rsidR="00697747" w:rsidRPr="000E7C52">
              <w:rPr>
                <w:rStyle w:val="Hyperlink"/>
                <w:noProof/>
              </w:rPr>
              <w:t>Grounds for processing</w:t>
            </w:r>
            <w:r w:rsidR="00697747">
              <w:rPr>
                <w:noProof/>
                <w:webHidden/>
              </w:rPr>
              <w:tab/>
            </w:r>
            <w:r w:rsidR="00697747">
              <w:rPr>
                <w:noProof/>
                <w:webHidden/>
              </w:rPr>
              <w:fldChar w:fldCharType="begin"/>
            </w:r>
            <w:r w:rsidR="00697747">
              <w:rPr>
                <w:noProof/>
                <w:webHidden/>
              </w:rPr>
              <w:instrText xml:space="preserve"> PAGEREF _Toc514426046 \h </w:instrText>
            </w:r>
            <w:r w:rsidR="00697747">
              <w:rPr>
                <w:noProof/>
                <w:webHidden/>
              </w:rPr>
            </w:r>
            <w:r w:rsidR="00697747">
              <w:rPr>
                <w:noProof/>
                <w:webHidden/>
              </w:rPr>
              <w:fldChar w:fldCharType="separate"/>
            </w:r>
            <w:r w:rsidR="00697747">
              <w:rPr>
                <w:noProof/>
                <w:webHidden/>
              </w:rPr>
              <w:t>3</w:t>
            </w:r>
            <w:r w:rsidR="00697747">
              <w:rPr>
                <w:noProof/>
                <w:webHidden/>
              </w:rPr>
              <w:fldChar w:fldCharType="end"/>
            </w:r>
          </w:hyperlink>
        </w:p>
        <w:p w:rsidR="00697747" w:rsidRDefault="002F4E0C">
          <w:pPr>
            <w:pStyle w:val="TOC2"/>
            <w:tabs>
              <w:tab w:val="right" w:leader="dot" w:pos="9743"/>
            </w:tabs>
            <w:rPr>
              <w:rFonts w:eastAsiaTheme="minorEastAsia"/>
              <w:noProof/>
              <w:lang w:val="en-IE" w:eastAsia="en-IE"/>
            </w:rPr>
          </w:pPr>
          <w:hyperlink w:anchor="_Toc514426047" w:history="1">
            <w:r w:rsidR="00697747" w:rsidRPr="000E7C52">
              <w:rPr>
                <w:rStyle w:val="Hyperlink"/>
                <w:noProof/>
              </w:rPr>
              <w:t>Further processing</w:t>
            </w:r>
            <w:r w:rsidR="00697747">
              <w:rPr>
                <w:noProof/>
                <w:webHidden/>
              </w:rPr>
              <w:tab/>
            </w:r>
            <w:r w:rsidR="00697747">
              <w:rPr>
                <w:noProof/>
                <w:webHidden/>
              </w:rPr>
              <w:fldChar w:fldCharType="begin"/>
            </w:r>
            <w:r w:rsidR="00697747">
              <w:rPr>
                <w:noProof/>
                <w:webHidden/>
              </w:rPr>
              <w:instrText xml:space="preserve"> PAGEREF _Toc514426047 \h </w:instrText>
            </w:r>
            <w:r w:rsidR="00697747">
              <w:rPr>
                <w:noProof/>
                <w:webHidden/>
              </w:rPr>
            </w:r>
            <w:r w:rsidR="00697747">
              <w:rPr>
                <w:noProof/>
                <w:webHidden/>
              </w:rPr>
              <w:fldChar w:fldCharType="separate"/>
            </w:r>
            <w:r w:rsidR="00697747">
              <w:rPr>
                <w:noProof/>
                <w:webHidden/>
              </w:rPr>
              <w:t>4</w:t>
            </w:r>
            <w:r w:rsidR="00697747">
              <w:rPr>
                <w:noProof/>
                <w:webHidden/>
              </w:rPr>
              <w:fldChar w:fldCharType="end"/>
            </w:r>
          </w:hyperlink>
        </w:p>
        <w:p w:rsidR="00697747" w:rsidRDefault="002F4E0C">
          <w:pPr>
            <w:pStyle w:val="TOC2"/>
            <w:tabs>
              <w:tab w:val="right" w:leader="dot" w:pos="9743"/>
            </w:tabs>
            <w:rPr>
              <w:rFonts w:eastAsiaTheme="minorEastAsia"/>
              <w:noProof/>
              <w:lang w:val="en-IE" w:eastAsia="en-IE"/>
            </w:rPr>
          </w:pPr>
          <w:hyperlink w:anchor="_Toc514426048" w:history="1">
            <w:r w:rsidR="00697747" w:rsidRPr="000E7C52">
              <w:rPr>
                <w:rStyle w:val="Hyperlink"/>
                <w:noProof/>
              </w:rPr>
              <w:t>Right of erasure</w:t>
            </w:r>
            <w:r w:rsidR="00697747">
              <w:rPr>
                <w:noProof/>
                <w:webHidden/>
              </w:rPr>
              <w:tab/>
            </w:r>
            <w:r w:rsidR="00697747">
              <w:rPr>
                <w:noProof/>
                <w:webHidden/>
              </w:rPr>
              <w:fldChar w:fldCharType="begin"/>
            </w:r>
            <w:r w:rsidR="00697747">
              <w:rPr>
                <w:noProof/>
                <w:webHidden/>
              </w:rPr>
              <w:instrText xml:space="preserve"> PAGEREF _Toc514426048 \h </w:instrText>
            </w:r>
            <w:r w:rsidR="00697747">
              <w:rPr>
                <w:noProof/>
                <w:webHidden/>
              </w:rPr>
            </w:r>
            <w:r w:rsidR="00697747">
              <w:rPr>
                <w:noProof/>
                <w:webHidden/>
              </w:rPr>
              <w:fldChar w:fldCharType="separate"/>
            </w:r>
            <w:r w:rsidR="00697747">
              <w:rPr>
                <w:noProof/>
                <w:webHidden/>
              </w:rPr>
              <w:t>4</w:t>
            </w:r>
            <w:r w:rsidR="00697747">
              <w:rPr>
                <w:noProof/>
                <w:webHidden/>
              </w:rPr>
              <w:fldChar w:fldCharType="end"/>
            </w:r>
          </w:hyperlink>
        </w:p>
        <w:p w:rsidR="00697747" w:rsidRDefault="002F4E0C">
          <w:pPr>
            <w:pStyle w:val="TOC1"/>
            <w:tabs>
              <w:tab w:val="right" w:leader="dot" w:pos="9743"/>
            </w:tabs>
            <w:rPr>
              <w:rFonts w:eastAsiaTheme="minorEastAsia"/>
              <w:noProof/>
              <w:lang w:val="en-IE" w:eastAsia="en-IE"/>
            </w:rPr>
          </w:pPr>
          <w:hyperlink w:anchor="_Toc514426049" w:history="1">
            <w:r w:rsidR="00697747" w:rsidRPr="000E7C52">
              <w:rPr>
                <w:rStyle w:val="Hyperlink"/>
                <w:noProof/>
              </w:rPr>
              <w:t>Document Retention Procedure</w:t>
            </w:r>
            <w:r w:rsidR="00697747">
              <w:rPr>
                <w:noProof/>
                <w:webHidden/>
              </w:rPr>
              <w:tab/>
            </w:r>
            <w:r w:rsidR="00697747">
              <w:rPr>
                <w:noProof/>
                <w:webHidden/>
              </w:rPr>
              <w:fldChar w:fldCharType="begin"/>
            </w:r>
            <w:r w:rsidR="00697747">
              <w:rPr>
                <w:noProof/>
                <w:webHidden/>
              </w:rPr>
              <w:instrText xml:space="preserve"> PAGEREF _Toc514426049 \h </w:instrText>
            </w:r>
            <w:r w:rsidR="00697747">
              <w:rPr>
                <w:noProof/>
                <w:webHidden/>
              </w:rPr>
            </w:r>
            <w:r w:rsidR="00697747">
              <w:rPr>
                <w:noProof/>
                <w:webHidden/>
              </w:rPr>
              <w:fldChar w:fldCharType="separate"/>
            </w:r>
            <w:r w:rsidR="00697747">
              <w:rPr>
                <w:noProof/>
                <w:webHidden/>
              </w:rPr>
              <w:t>5</w:t>
            </w:r>
            <w:r w:rsidR="00697747">
              <w:rPr>
                <w:noProof/>
                <w:webHidden/>
              </w:rPr>
              <w:fldChar w:fldCharType="end"/>
            </w:r>
          </w:hyperlink>
        </w:p>
        <w:p w:rsidR="00697747" w:rsidRDefault="002F4E0C">
          <w:pPr>
            <w:pStyle w:val="TOC1"/>
            <w:tabs>
              <w:tab w:val="right" w:leader="dot" w:pos="9743"/>
            </w:tabs>
            <w:rPr>
              <w:rFonts w:eastAsiaTheme="minorEastAsia"/>
              <w:noProof/>
              <w:lang w:val="en-IE" w:eastAsia="en-IE"/>
            </w:rPr>
          </w:pPr>
          <w:hyperlink w:anchor="_Toc514426050" w:history="1">
            <w:r w:rsidR="00697747" w:rsidRPr="000E7C52">
              <w:rPr>
                <w:rStyle w:val="Hyperlink"/>
                <w:noProof/>
              </w:rPr>
              <w:t>Types of Documents</w:t>
            </w:r>
            <w:r w:rsidR="00697747">
              <w:rPr>
                <w:noProof/>
                <w:webHidden/>
              </w:rPr>
              <w:tab/>
            </w:r>
            <w:r w:rsidR="00697747">
              <w:rPr>
                <w:noProof/>
                <w:webHidden/>
              </w:rPr>
              <w:fldChar w:fldCharType="begin"/>
            </w:r>
            <w:r w:rsidR="00697747">
              <w:rPr>
                <w:noProof/>
                <w:webHidden/>
              </w:rPr>
              <w:instrText xml:space="preserve"> PAGEREF _Toc514426050 \h </w:instrText>
            </w:r>
            <w:r w:rsidR="00697747">
              <w:rPr>
                <w:noProof/>
                <w:webHidden/>
              </w:rPr>
            </w:r>
            <w:r w:rsidR="00697747">
              <w:rPr>
                <w:noProof/>
                <w:webHidden/>
              </w:rPr>
              <w:fldChar w:fldCharType="separate"/>
            </w:r>
            <w:r w:rsidR="00697747">
              <w:rPr>
                <w:noProof/>
                <w:webHidden/>
              </w:rPr>
              <w:t>5</w:t>
            </w:r>
            <w:r w:rsidR="00697747">
              <w:rPr>
                <w:noProof/>
                <w:webHidden/>
              </w:rPr>
              <w:fldChar w:fldCharType="end"/>
            </w:r>
          </w:hyperlink>
        </w:p>
        <w:p w:rsidR="00697747" w:rsidRDefault="002F4E0C">
          <w:pPr>
            <w:pStyle w:val="TOC2"/>
            <w:tabs>
              <w:tab w:val="right" w:leader="dot" w:pos="9743"/>
            </w:tabs>
            <w:rPr>
              <w:rFonts w:eastAsiaTheme="minorEastAsia"/>
              <w:noProof/>
              <w:lang w:val="en-IE" w:eastAsia="en-IE"/>
            </w:rPr>
          </w:pPr>
          <w:hyperlink w:anchor="_Toc514426051" w:history="1">
            <w:r w:rsidR="00697747" w:rsidRPr="000E7C52">
              <w:rPr>
                <w:rStyle w:val="Hyperlink"/>
                <w:noProof/>
              </w:rPr>
              <w:t>Records</w:t>
            </w:r>
            <w:r w:rsidR="00697747">
              <w:rPr>
                <w:noProof/>
                <w:webHidden/>
              </w:rPr>
              <w:tab/>
            </w:r>
            <w:r w:rsidR="00697747">
              <w:rPr>
                <w:noProof/>
                <w:webHidden/>
              </w:rPr>
              <w:fldChar w:fldCharType="begin"/>
            </w:r>
            <w:r w:rsidR="00697747">
              <w:rPr>
                <w:noProof/>
                <w:webHidden/>
              </w:rPr>
              <w:instrText xml:space="preserve"> PAGEREF _Toc514426051 \h </w:instrText>
            </w:r>
            <w:r w:rsidR="00697747">
              <w:rPr>
                <w:noProof/>
                <w:webHidden/>
              </w:rPr>
            </w:r>
            <w:r w:rsidR="00697747">
              <w:rPr>
                <w:noProof/>
                <w:webHidden/>
              </w:rPr>
              <w:fldChar w:fldCharType="separate"/>
            </w:r>
            <w:r w:rsidR="00697747">
              <w:rPr>
                <w:noProof/>
                <w:webHidden/>
              </w:rPr>
              <w:t>5</w:t>
            </w:r>
            <w:r w:rsidR="00697747">
              <w:rPr>
                <w:noProof/>
                <w:webHidden/>
              </w:rPr>
              <w:fldChar w:fldCharType="end"/>
            </w:r>
          </w:hyperlink>
        </w:p>
        <w:p w:rsidR="00697747" w:rsidRDefault="002F4E0C">
          <w:pPr>
            <w:pStyle w:val="TOC2"/>
            <w:tabs>
              <w:tab w:val="right" w:leader="dot" w:pos="9743"/>
            </w:tabs>
            <w:rPr>
              <w:rFonts w:eastAsiaTheme="minorEastAsia"/>
              <w:noProof/>
              <w:lang w:val="en-IE" w:eastAsia="en-IE"/>
            </w:rPr>
          </w:pPr>
          <w:hyperlink w:anchor="_Toc514426052" w:history="1">
            <w:r w:rsidR="00697747" w:rsidRPr="000E7C52">
              <w:rPr>
                <w:rStyle w:val="Hyperlink"/>
                <w:noProof/>
              </w:rPr>
              <w:t>Disposable Information</w:t>
            </w:r>
            <w:r w:rsidR="00697747">
              <w:rPr>
                <w:noProof/>
                <w:webHidden/>
              </w:rPr>
              <w:tab/>
            </w:r>
            <w:r w:rsidR="00697747">
              <w:rPr>
                <w:noProof/>
                <w:webHidden/>
              </w:rPr>
              <w:fldChar w:fldCharType="begin"/>
            </w:r>
            <w:r w:rsidR="00697747">
              <w:rPr>
                <w:noProof/>
                <w:webHidden/>
              </w:rPr>
              <w:instrText xml:space="preserve"> PAGEREF _Toc514426052 \h </w:instrText>
            </w:r>
            <w:r w:rsidR="00697747">
              <w:rPr>
                <w:noProof/>
                <w:webHidden/>
              </w:rPr>
            </w:r>
            <w:r w:rsidR="00697747">
              <w:rPr>
                <w:noProof/>
                <w:webHidden/>
              </w:rPr>
              <w:fldChar w:fldCharType="separate"/>
            </w:r>
            <w:r w:rsidR="00697747">
              <w:rPr>
                <w:noProof/>
                <w:webHidden/>
              </w:rPr>
              <w:t>6</w:t>
            </w:r>
            <w:r w:rsidR="00697747">
              <w:rPr>
                <w:noProof/>
                <w:webHidden/>
              </w:rPr>
              <w:fldChar w:fldCharType="end"/>
            </w:r>
          </w:hyperlink>
        </w:p>
        <w:p w:rsidR="00697747" w:rsidRDefault="002F4E0C">
          <w:pPr>
            <w:pStyle w:val="TOC2"/>
            <w:tabs>
              <w:tab w:val="right" w:leader="dot" w:pos="9743"/>
            </w:tabs>
            <w:rPr>
              <w:rFonts w:eastAsiaTheme="minorEastAsia"/>
              <w:noProof/>
              <w:lang w:val="en-IE" w:eastAsia="en-IE"/>
            </w:rPr>
          </w:pPr>
          <w:hyperlink w:anchor="_Toc514426053" w:history="1">
            <w:r w:rsidR="00697747" w:rsidRPr="000E7C52">
              <w:rPr>
                <w:rStyle w:val="Hyperlink"/>
                <w:noProof/>
              </w:rPr>
              <w:t>Personal Data</w:t>
            </w:r>
            <w:r w:rsidR="00697747">
              <w:rPr>
                <w:noProof/>
                <w:webHidden/>
              </w:rPr>
              <w:tab/>
            </w:r>
            <w:r w:rsidR="00697747">
              <w:rPr>
                <w:noProof/>
                <w:webHidden/>
              </w:rPr>
              <w:fldChar w:fldCharType="begin"/>
            </w:r>
            <w:r w:rsidR="00697747">
              <w:rPr>
                <w:noProof/>
                <w:webHidden/>
              </w:rPr>
              <w:instrText xml:space="preserve"> PAGEREF _Toc514426053 \h </w:instrText>
            </w:r>
            <w:r w:rsidR="00697747">
              <w:rPr>
                <w:noProof/>
                <w:webHidden/>
              </w:rPr>
            </w:r>
            <w:r w:rsidR="00697747">
              <w:rPr>
                <w:noProof/>
                <w:webHidden/>
              </w:rPr>
              <w:fldChar w:fldCharType="separate"/>
            </w:r>
            <w:r w:rsidR="00697747">
              <w:rPr>
                <w:noProof/>
                <w:webHidden/>
              </w:rPr>
              <w:t>7</w:t>
            </w:r>
            <w:r w:rsidR="00697747">
              <w:rPr>
                <w:noProof/>
                <w:webHidden/>
              </w:rPr>
              <w:fldChar w:fldCharType="end"/>
            </w:r>
          </w:hyperlink>
        </w:p>
        <w:p w:rsidR="00697747" w:rsidRDefault="002F4E0C">
          <w:pPr>
            <w:pStyle w:val="TOC2"/>
            <w:tabs>
              <w:tab w:val="right" w:leader="dot" w:pos="9743"/>
            </w:tabs>
            <w:rPr>
              <w:rFonts w:eastAsiaTheme="minorEastAsia"/>
              <w:noProof/>
              <w:lang w:val="en-IE" w:eastAsia="en-IE"/>
            </w:rPr>
          </w:pPr>
          <w:hyperlink w:anchor="_Toc514426054" w:history="1">
            <w:r w:rsidR="00697747" w:rsidRPr="000E7C52">
              <w:rPr>
                <w:rStyle w:val="Hyperlink"/>
                <w:noProof/>
              </w:rPr>
              <w:t>Confidential Information Belonging to Others</w:t>
            </w:r>
            <w:r w:rsidR="00697747">
              <w:rPr>
                <w:noProof/>
                <w:webHidden/>
              </w:rPr>
              <w:tab/>
            </w:r>
            <w:r w:rsidR="00697747">
              <w:rPr>
                <w:noProof/>
                <w:webHidden/>
              </w:rPr>
              <w:fldChar w:fldCharType="begin"/>
            </w:r>
            <w:r w:rsidR="00697747">
              <w:rPr>
                <w:noProof/>
                <w:webHidden/>
              </w:rPr>
              <w:instrText xml:space="preserve"> PAGEREF _Toc514426054 \h </w:instrText>
            </w:r>
            <w:r w:rsidR="00697747">
              <w:rPr>
                <w:noProof/>
                <w:webHidden/>
              </w:rPr>
            </w:r>
            <w:r w:rsidR="00697747">
              <w:rPr>
                <w:noProof/>
                <w:webHidden/>
              </w:rPr>
              <w:fldChar w:fldCharType="separate"/>
            </w:r>
            <w:r w:rsidR="00697747">
              <w:rPr>
                <w:noProof/>
                <w:webHidden/>
              </w:rPr>
              <w:t>7</w:t>
            </w:r>
            <w:r w:rsidR="00697747">
              <w:rPr>
                <w:noProof/>
                <w:webHidden/>
              </w:rPr>
              <w:fldChar w:fldCharType="end"/>
            </w:r>
          </w:hyperlink>
        </w:p>
        <w:p w:rsidR="00697747" w:rsidRDefault="002F4E0C">
          <w:pPr>
            <w:pStyle w:val="TOC1"/>
            <w:tabs>
              <w:tab w:val="right" w:leader="dot" w:pos="9743"/>
            </w:tabs>
            <w:rPr>
              <w:rFonts w:eastAsiaTheme="minorEastAsia"/>
              <w:noProof/>
              <w:lang w:val="en-IE" w:eastAsia="en-IE"/>
            </w:rPr>
          </w:pPr>
          <w:hyperlink w:anchor="_Toc514426055" w:history="1">
            <w:r w:rsidR="00697747" w:rsidRPr="000E7C52">
              <w:rPr>
                <w:rStyle w:val="Hyperlink"/>
                <w:noProof/>
              </w:rPr>
              <w:t>The role of the Data Protection Officer in Records Management</w:t>
            </w:r>
            <w:r w:rsidR="00697747">
              <w:rPr>
                <w:noProof/>
                <w:webHidden/>
              </w:rPr>
              <w:tab/>
            </w:r>
            <w:r w:rsidR="00697747">
              <w:rPr>
                <w:noProof/>
                <w:webHidden/>
              </w:rPr>
              <w:fldChar w:fldCharType="begin"/>
            </w:r>
            <w:r w:rsidR="00697747">
              <w:rPr>
                <w:noProof/>
                <w:webHidden/>
              </w:rPr>
              <w:instrText xml:space="preserve"> PAGEREF _Toc514426055 \h </w:instrText>
            </w:r>
            <w:r w:rsidR="00697747">
              <w:rPr>
                <w:noProof/>
                <w:webHidden/>
              </w:rPr>
            </w:r>
            <w:r w:rsidR="00697747">
              <w:rPr>
                <w:noProof/>
                <w:webHidden/>
              </w:rPr>
              <w:fldChar w:fldCharType="separate"/>
            </w:r>
            <w:r w:rsidR="00697747">
              <w:rPr>
                <w:noProof/>
                <w:webHidden/>
              </w:rPr>
              <w:t>7</w:t>
            </w:r>
            <w:r w:rsidR="00697747">
              <w:rPr>
                <w:noProof/>
                <w:webHidden/>
              </w:rPr>
              <w:fldChar w:fldCharType="end"/>
            </w:r>
          </w:hyperlink>
        </w:p>
        <w:p w:rsidR="00697747" w:rsidRDefault="002F4E0C">
          <w:pPr>
            <w:pStyle w:val="TOC1"/>
            <w:tabs>
              <w:tab w:val="right" w:leader="dot" w:pos="9743"/>
            </w:tabs>
            <w:rPr>
              <w:rFonts w:eastAsiaTheme="minorEastAsia"/>
              <w:noProof/>
              <w:lang w:val="en-IE" w:eastAsia="en-IE"/>
            </w:rPr>
          </w:pPr>
          <w:hyperlink w:anchor="_Toc514426056" w:history="1">
            <w:r w:rsidR="00697747" w:rsidRPr="000E7C52">
              <w:rPr>
                <w:rStyle w:val="Hyperlink"/>
                <w:noProof/>
              </w:rPr>
              <w:t>How to Store and Destroy Records</w:t>
            </w:r>
            <w:r w:rsidR="00697747">
              <w:rPr>
                <w:noProof/>
                <w:webHidden/>
              </w:rPr>
              <w:tab/>
            </w:r>
            <w:r w:rsidR="00697747">
              <w:rPr>
                <w:noProof/>
                <w:webHidden/>
              </w:rPr>
              <w:fldChar w:fldCharType="begin"/>
            </w:r>
            <w:r w:rsidR="00697747">
              <w:rPr>
                <w:noProof/>
                <w:webHidden/>
              </w:rPr>
              <w:instrText xml:space="preserve"> PAGEREF _Toc514426056 \h </w:instrText>
            </w:r>
            <w:r w:rsidR="00697747">
              <w:rPr>
                <w:noProof/>
                <w:webHidden/>
              </w:rPr>
            </w:r>
            <w:r w:rsidR="00697747">
              <w:rPr>
                <w:noProof/>
                <w:webHidden/>
              </w:rPr>
              <w:fldChar w:fldCharType="separate"/>
            </w:r>
            <w:r w:rsidR="00697747">
              <w:rPr>
                <w:noProof/>
                <w:webHidden/>
              </w:rPr>
              <w:t>9</w:t>
            </w:r>
            <w:r w:rsidR="00697747">
              <w:rPr>
                <w:noProof/>
                <w:webHidden/>
              </w:rPr>
              <w:fldChar w:fldCharType="end"/>
            </w:r>
          </w:hyperlink>
        </w:p>
        <w:p w:rsidR="00697747" w:rsidRDefault="002F4E0C">
          <w:pPr>
            <w:pStyle w:val="TOC2"/>
            <w:tabs>
              <w:tab w:val="right" w:leader="dot" w:pos="9743"/>
            </w:tabs>
            <w:rPr>
              <w:rFonts w:eastAsiaTheme="minorEastAsia"/>
              <w:noProof/>
              <w:lang w:val="en-IE" w:eastAsia="en-IE"/>
            </w:rPr>
          </w:pPr>
          <w:hyperlink w:anchor="_Toc514426057" w:history="1">
            <w:r w:rsidR="00697747" w:rsidRPr="000E7C52">
              <w:rPr>
                <w:rStyle w:val="Hyperlink"/>
                <w:noProof/>
              </w:rPr>
              <w:t>Storage</w:t>
            </w:r>
            <w:r w:rsidR="00697747">
              <w:rPr>
                <w:noProof/>
                <w:webHidden/>
              </w:rPr>
              <w:tab/>
            </w:r>
            <w:r w:rsidR="00697747">
              <w:rPr>
                <w:noProof/>
                <w:webHidden/>
              </w:rPr>
              <w:fldChar w:fldCharType="begin"/>
            </w:r>
            <w:r w:rsidR="00697747">
              <w:rPr>
                <w:noProof/>
                <w:webHidden/>
              </w:rPr>
              <w:instrText xml:space="preserve"> PAGEREF _Toc514426057 \h </w:instrText>
            </w:r>
            <w:r w:rsidR="00697747">
              <w:rPr>
                <w:noProof/>
                <w:webHidden/>
              </w:rPr>
            </w:r>
            <w:r w:rsidR="00697747">
              <w:rPr>
                <w:noProof/>
                <w:webHidden/>
              </w:rPr>
              <w:fldChar w:fldCharType="separate"/>
            </w:r>
            <w:r w:rsidR="00697747">
              <w:rPr>
                <w:noProof/>
                <w:webHidden/>
              </w:rPr>
              <w:t>9</w:t>
            </w:r>
            <w:r w:rsidR="00697747">
              <w:rPr>
                <w:noProof/>
                <w:webHidden/>
              </w:rPr>
              <w:fldChar w:fldCharType="end"/>
            </w:r>
          </w:hyperlink>
        </w:p>
        <w:p w:rsidR="00697747" w:rsidRDefault="002F4E0C">
          <w:pPr>
            <w:pStyle w:val="TOC2"/>
            <w:tabs>
              <w:tab w:val="right" w:leader="dot" w:pos="9743"/>
            </w:tabs>
            <w:rPr>
              <w:rFonts w:eastAsiaTheme="minorEastAsia"/>
              <w:noProof/>
              <w:lang w:val="en-IE" w:eastAsia="en-IE"/>
            </w:rPr>
          </w:pPr>
          <w:hyperlink w:anchor="_Toc514426058" w:history="1">
            <w:r w:rsidR="00697747" w:rsidRPr="000E7C52">
              <w:rPr>
                <w:rStyle w:val="Hyperlink"/>
                <w:noProof/>
              </w:rPr>
              <w:t>Destruction</w:t>
            </w:r>
            <w:r w:rsidR="00697747">
              <w:rPr>
                <w:noProof/>
                <w:webHidden/>
              </w:rPr>
              <w:tab/>
            </w:r>
            <w:r w:rsidR="00697747">
              <w:rPr>
                <w:noProof/>
                <w:webHidden/>
              </w:rPr>
              <w:fldChar w:fldCharType="begin"/>
            </w:r>
            <w:r w:rsidR="00697747">
              <w:rPr>
                <w:noProof/>
                <w:webHidden/>
              </w:rPr>
              <w:instrText xml:space="preserve"> PAGEREF _Toc514426058 \h </w:instrText>
            </w:r>
            <w:r w:rsidR="00697747">
              <w:rPr>
                <w:noProof/>
                <w:webHidden/>
              </w:rPr>
            </w:r>
            <w:r w:rsidR="00697747">
              <w:rPr>
                <w:noProof/>
                <w:webHidden/>
              </w:rPr>
              <w:fldChar w:fldCharType="separate"/>
            </w:r>
            <w:r w:rsidR="00697747">
              <w:rPr>
                <w:noProof/>
                <w:webHidden/>
              </w:rPr>
              <w:t>9</w:t>
            </w:r>
            <w:r w:rsidR="00697747">
              <w:rPr>
                <w:noProof/>
                <w:webHidden/>
              </w:rPr>
              <w:fldChar w:fldCharType="end"/>
            </w:r>
          </w:hyperlink>
        </w:p>
        <w:p w:rsidR="00697747" w:rsidRDefault="002F4E0C">
          <w:pPr>
            <w:pStyle w:val="TOC1"/>
            <w:tabs>
              <w:tab w:val="right" w:leader="dot" w:pos="9743"/>
            </w:tabs>
            <w:rPr>
              <w:rFonts w:eastAsiaTheme="minorEastAsia"/>
              <w:noProof/>
              <w:lang w:val="en-IE" w:eastAsia="en-IE"/>
            </w:rPr>
          </w:pPr>
          <w:hyperlink w:anchor="_Toc514426059" w:history="1">
            <w:r w:rsidR="00697747" w:rsidRPr="000E7C52">
              <w:rPr>
                <w:rStyle w:val="Hyperlink"/>
                <w:noProof/>
              </w:rPr>
              <w:t>Questions about the Policy</w:t>
            </w:r>
            <w:r w:rsidR="00697747">
              <w:rPr>
                <w:noProof/>
                <w:webHidden/>
              </w:rPr>
              <w:tab/>
            </w:r>
            <w:r w:rsidR="00697747">
              <w:rPr>
                <w:noProof/>
                <w:webHidden/>
              </w:rPr>
              <w:fldChar w:fldCharType="begin"/>
            </w:r>
            <w:r w:rsidR="00697747">
              <w:rPr>
                <w:noProof/>
                <w:webHidden/>
              </w:rPr>
              <w:instrText xml:space="preserve"> PAGEREF _Toc514426059 \h </w:instrText>
            </w:r>
            <w:r w:rsidR="00697747">
              <w:rPr>
                <w:noProof/>
                <w:webHidden/>
              </w:rPr>
            </w:r>
            <w:r w:rsidR="00697747">
              <w:rPr>
                <w:noProof/>
                <w:webHidden/>
              </w:rPr>
              <w:fldChar w:fldCharType="separate"/>
            </w:r>
            <w:r w:rsidR="00697747">
              <w:rPr>
                <w:noProof/>
                <w:webHidden/>
              </w:rPr>
              <w:t>9</w:t>
            </w:r>
            <w:r w:rsidR="00697747">
              <w:rPr>
                <w:noProof/>
                <w:webHidden/>
              </w:rPr>
              <w:fldChar w:fldCharType="end"/>
            </w:r>
          </w:hyperlink>
        </w:p>
        <w:p w:rsidR="00697747" w:rsidRDefault="002F4E0C">
          <w:pPr>
            <w:pStyle w:val="TOC1"/>
            <w:tabs>
              <w:tab w:val="right" w:leader="dot" w:pos="9743"/>
            </w:tabs>
            <w:rPr>
              <w:rFonts w:eastAsiaTheme="minorEastAsia"/>
              <w:noProof/>
              <w:lang w:val="en-IE" w:eastAsia="en-IE"/>
            </w:rPr>
          </w:pPr>
          <w:hyperlink w:anchor="_Toc514426060" w:history="1">
            <w:r w:rsidR="00697747" w:rsidRPr="000E7C52">
              <w:rPr>
                <w:rStyle w:val="Hyperlink"/>
                <w:noProof/>
              </w:rPr>
              <w:t>Appendix</w:t>
            </w:r>
            <w:r w:rsidR="00697747">
              <w:rPr>
                <w:noProof/>
                <w:webHidden/>
              </w:rPr>
              <w:tab/>
            </w:r>
            <w:r w:rsidR="00697747">
              <w:rPr>
                <w:noProof/>
                <w:webHidden/>
              </w:rPr>
              <w:fldChar w:fldCharType="begin"/>
            </w:r>
            <w:r w:rsidR="00697747">
              <w:rPr>
                <w:noProof/>
                <w:webHidden/>
              </w:rPr>
              <w:instrText xml:space="preserve"> PAGEREF _Toc514426060 \h </w:instrText>
            </w:r>
            <w:r w:rsidR="00697747">
              <w:rPr>
                <w:noProof/>
                <w:webHidden/>
              </w:rPr>
            </w:r>
            <w:r w:rsidR="00697747">
              <w:rPr>
                <w:noProof/>
                <w:webHidden/>
              </w:rPr>
              <w:fldChar w:fldCharType="separate"/>
            </w:r>
            <w:r w:rsidR="00697747">
              <w:rPr>
                <w:noProof/>
                <w:webHidden/>
              </w:rPr>
              <w:t>10</w:t>
            </w:r>
            <w:r w:rsidR="00697747">
              <w:rPr>
                <w:noProof/>
                <w:webHidden/>
              </w:rPr>
              <w:fldChar w:fldCharType="end"/>
            </w:r>
          </w:hyperlink>
        </w:p>
        <w:p w:rsidR="00697747" w:rsidRDefault="002F4E0C">
          <w:pPr>
            <w:pStyle w:val="TOC2"/>
            <w:tabs>
              <w:tab w:val="right" w:leader="dot" w:pos="9743"/>
            </w:tabs>
            <w:rPr>
              <w:rFonts w:eastAsiaTheme="minorEastAsia"/>
              <w:noProof/>
              <w:lang w:val="en-IE" w:eastAsia="en-IE"/>
            </w:rPr>
          </w:pPr>
          <w:hyperlink w:anchor="_Toc514426061" w:history="1">
            <w:r w:rsidR="00697747" w:rsidRPr="000E7C52">
              <w:rPr>
                <w:rStyle w:val="Hyperlink"/>
                <w:noProof/>
              </w:rPr>
              <w:t>Record Retention Schedule</w:t>
            </w:r>
            <w:r w:rsidR="00697747">
              <w:rPr>
                <w:noProof/>
                <w:webHidden/>
              </w:rPr>
              <w:tab/>
            </w:r>
            <w:r w:rsidR="00697747">
              <w:rPr>
                <w:noProof/>
                <w:webHidden/>
              </w:rPr>
              <w:fldChar w:fldCharType="begin"/>
            </w:r>
            <w:r w:rsidR="00697747">
              <w:rPr>
                <w:noProof/>
                <w:webHidden/>
              </w:rPr>
              <w:instrText xml:space="preserve"> PAGEREF _Toc514426061 \h </w:instrText>
            </w:r>
            <w:r w:rsidR="00697747">
              <w:rPr>
                <w:noProof/>
                <w:webHidden/>
              </w:rPr>
            </w:r>
            <w:r w:rsidR="00697747">
              <w:rPr>
                <w:noProof/>
                <w:webHidden/>
              </w:rPr>
              <w:fldChar w:fldCharType="separate"/>
            </w:r>
            <w:r w:rsidR="00697747">
              <w:rPr>
                <w:noProof/>
                <w:webHidden/>
              </w:rPr>
              <w:t>10</w:t>
            </w:r>
            <w:r w:rsidR="00697747">
              <w:rPr>
                <w:noProof/>
                <w:webHidden/>
              </w:rPr>
              <w:fldChar w:fldCharType="end"/>
            </w:r>
          </w:hyperlink>
        </w:p>
        <w:p w:rsidR="00697747" w:rsidRDefault="002F4E0C">
          <w:pPr>
            <w:pStyle w:val="TOC3"/>
            <w:tabs>
              <w:tab w:val="right" w:leader="dot" w:pos="9743"/>
            </w:tabs>
            <w:rPr>
              <w:rFonts w:eastAsiaTheme="minorEastAsia"/>
              <w:noProof/>
              <w:lang w:val="en-IE" w:eastAsia="en-IE"/>
            </w:rPr>
          </w:pPr>
          <w:hyperlink w:anchor="_Toc514426062" w:history="1">
            <w:r w:rsidR="00697747" w:rsidRPr="000E7C52">
              <w:rPr>
                <w:rStyle w:val="Hyperlink"/>
                <w:noProof/>
              </w:rPr>
              <w:t>Personnel Records</w:t>
            </w:r>
            <w:r w:rsidR="00697747">
              <w:rPr>
                <w:noProof/>
                <w:webHidden/>
              </w:rPr>
              <w:tab/>
            </w:r>
            <w:r w:rsidR="00697747">
              <w:rPr>
                <w:noProof/>
                <w:webHidden/>
              </w:rPr>
              <w:fldChar w:fldCharType="begin"/>
            </w:r>
            <w:r w:rsidR="00697747">
              <w:rPr>
                <w:noProof/>
                <w:webHidden/>
              </w:rPr>
              <w:instrText xml:space="preserve"> PAGEREF _Toc514426062 \h </w:instrText>
            </w:r>
            <w:r w:rsidR="00697747">
              <w:rPr>
                <w:noProof/>
                <w:webHidden/>
              </w:rPr>
            </w:r>
            <w:r w:rsidR="00697747">
              <w:rPr>
                <w:noProof/>
                <w:webHidden/>
              </w:rPr>
              <w:fldChar w:fldCharType="separate"/>
            </w:r>
            <w:r w:rsidR="00697747">
              <w:rPr>
                <w:noProof/>
                <w:webHidden/>
              </w:rPr>
              <w:t>10</w:t>
            </w:r>
            <w:r w:rsidR="00697747">
              <w:rPr>
                <w:noProof/>
                <w:webHidden/>
              </w:rPr>
              <w:fldChar w:fldCharType="end"/>
            </w:r>
          </w:hyperlink>
        </w:p>
        <w:p w:rsidR="00697747" w:rsidRDefault="002F4E0C">
          <w:pPr>
            <w:pStyle w:val="TOC3"/>
            <w:tabs>
              <w:tab w:val="right" w:leader="dot" w:pos="9743"/>
            </w:tabs>
            <w:rPr>
              <w:rFonts w:eastAsiaTheme="minorEastAsia"/>
              <w:noProof/>
              <w:lang w:val="en-IE" w:eastAsia="en-IE"/>
            </w:rPr>
          </w:pPr>
          <w:hyperlink w:anchor="_Toc514426063" w:history="1">
            <w:r w:rsidR="00697747" w:rsidRPr="000E7C52">
              <w:rPr>
                <w:rStyle w:val="Hyperlink"/>
                <w:noProof/>
              </w:rPr>
              <w:t>Payroll Records</w:t>
            </w:r>
            <w:r w:rsidR="00697747">
              <w:rPr>
                <w:noProof/>
                <w:webHidden/>
              </w:rPr>
              <w:tab/>
            </w:r>
            <w:r w:rsidR="00697747">
              <w:rPr>
                <w:noProof/>
                <w:webHidden/>
              </w:rPr>
              <w:fldChar w:fldCharType="begin"/>
            </w:r>
            <w:r w:rsidR="00697747">
              <w:rPr>
                <w:noProof/>
                <w:webHidden/>
              </w:rPr>
              <w:instrText xml:space="preserve"> PAGEREF _Toc514426063 \h </w:instrText>
            </w:r>
            <w:r w:rsidR="00697747">
              <w:rPr>
                <w:noProof/>
                <w:webHidden/>
              </w:rPr>
            </w:r>
            <w:r w:rsidR="00697747">
              <w:rPr>
                <w:noProof/>
                <w:webHidden/>
              </w:rPr>
              <w:fldChar w:fldCharType="separate"/>
            </w:r>
            <w:r w:rsidR="00697747">
              <w:rPr>
                <w:noProof/>
                <w:webHidden/>
              </w:rPr>
              <w:t>13</w:t>
            </w:r>
            <w:r w:rsidR="00697747">
              <w:rPr>
                <w:noProof/>
                <w:webHidden/>
              </w:rPr>
              <w:fldChar w:fldCharType="end"/>
            </w:r>
          </w:hyperlink>
        </w:p>
        <w:p w:rsidR="00697747" w:rsidRDefault="002F4E0C">
          <w:pPr>
            <w:pStyle w:val="TOC3"/>
            <w:tabs>
              <w:tab w:val="right" w:leader="dot" w:pos="9743"/>
            </w:tabs>
            <w:rPr>
              <w:rFonts w:eastAsiaTheme="minorEastAsia"/>
              <w:noProof/>
              <w:lang w:val="en-IE" w:eastAsia="en-IE"/>
            </w:rPr>
          </w:pPr>
          <w:hyperlink w:anchor="_Toc514426064" w:history="1">
            <w:r w:rsidR="00697747" w:rsidRPr="000E7C52">
              <w:rPr>
                <w:rStyle w:val="Hyperlink"/>
                <w:noProof/>
              </w:rPr>
              <w:t>Prospective employees</w:t>
            </w:r>
            <w:r w:rsidR="00697747">
              <w:rPr>
                <w:noProof/>
                <w:webHidden/>
              </w:rPr>
              <w:tab/>
            </w:r>
            <w:r w:rsidR="00697747">
              <w:rPr>
                <w:noProof/>
                <w:webHidden/>
              </w:rPr>
              <w:fldChar w:fldCharType="begin"/>
            </w:r>
            <w:r w:rsidR="00697747">
              <w:rPr>
                <w:noProof/>
                <w:webHidden/>
              </w:rPr>
              <w:instrText xml:space="preserve"> PAGEREF _Toc514426064 \h </w:instrText>
            </w:r>
            <w:r w:rsidR="00697747">
              <w:rPr>
                <w:noProof/>
                <w:webHidden/>
              </w:rPr>
            </w:r>
            <w:r w:rsidR="00697747">
              <w:rPr>
                <w:noProof/>
                <w:webHidden/>
              </w:rPr>
              <w:fldChar w:fldCharType="separate"/>
            </w:r>
            <w:r w:rsidR="00697747">
              <w:rPr>
                <w:noProof/>
                <w:webHidden/>
              </w:rPr>
              <w:t>13</w:t>
            </w:r>
            <w:r w:rsidR="00697747">
              <w:rPr>
                <w:noProof/>
                <w:webHidden/>
              </w:rPr>
              <w:fldChar w:fldCharType="end"/>
            </w:r>
          </w:hyperlink>
        </w:p>
        <w:p w:rsidR="00697747" w:rsidRDefault="002F4E0C">
          <w:pPr>
            <w:pStyle w:val="TOC3"/>
            <w:tabs>
              <w:tab w:val="right" w:leader="dot" w:pos="9743"/>
            </w:tabs>
            <w:rPr>
              <w:rFonts w:eastAsiaTheme="minorEastAsia"/>
              <w:noProof/>
              <w:lang w:val="en-IE" w:eastAsia="en-IE"/>
            </w:rPr>
          </w:pPr>
          <w:hyperlink w:anchor="_Toc514426065" w:history="1">
            <w:r w:rsidR="00697747" w:rsidRPr="000E7C52">
              <w:rPr>
                <w:rStyle w:val="Hyperlink"/>
                <w:noProof/>
              </w:rPr>
              <w:t>Grant applicants</w:t>
            </w:r>
            <w:r w:rsidR="00697747">
              <w:rPr>
                <w:noProof/>
                <w:webHidden/>
              </w:rPr>
              <w:tab/>
            </w:r>
            <w:r w:rsidR="00697747">
              <w:rPr>
                <w:noProof/>
                <w:webHidden/>
              </w:rPr>
              <w:fldChar w:fldCharType="begin"/>
            </w:r>
            <w:r w:rsidR="00697747">
              <w:rPr>
                <w:noProof/>
                <w:webHidden/>
              </w:rPr>
              <w:instrText xml:space="preserve"> PAGEREF _Toc514426065 \h </w:instrText>
            </w:r>
            <w:r w:rsidR="00697747">
              <w:rPr>
                <w:noProof/>
                <w:webHidden/>
              </w:rPr>
            </w:r>
            <w:r w:rsidR="00697747">
              <w:rPr>
                <w:noProof/>
                <w:webHidden/>
              </w:rPr>
              <w:fldChar w:fldCharType="separate"/>
            </w:r>
            <w:r w:rsidR="00697747">
              <w:rPr>
                <w:noProof/>
                <w:webHidden/>
              </w:rPr>
              <w:t>14</w:t>
            </w:r>
            <w:r w:rsidR="00697747">
              <w:rPr>
                <w:noProof/>
                <w:webHidden/>
              </w:rPr>
              <w:fldChar w:fldCharType="end"/>
            </w:r>
          </w:hyperlink>
        </w:p>
        <w:p w:rsidR="00697747" w:rsidRDefault="002F4E0C">
          <w:pPr>
            <w:pStyle w:val="TOC3"/>
            <w:tabs>
              <w:tab w:val="right" w:leader="dot" w:pos="9743"/>
            </w:tabs>
            <w:rPr>
              <w:rFonts w:eastAsiaTheme="minorEastAsia"/>
              <w:noProof/>
              <w:lang w:val="en-IE" w:eastAsia="en-IE"/>
            </w:rPr>
          </w:pPr>
          <w:hyperlink w:anchor="_Toc514426066" w:history="1">
            <w:r w:rsidR="00697747" w:rsidRPr="000E7C52">
              <w:rPr>
                <w:rStyle w:val="Hyperlink"/>
                <w:noProof/>
              </w:rPr>
              <w:t>CCTV</w:t>
            </w:r>
            <w:r w:rsidR="00697747">
              <w:rPr>
                <w:noProof/>
                <w:webHidden/>
              </w:rPr>
              <w:tab/>
            </w:r>
            <w:r w:rsidR="00697747">
              <w:rPr>
                <w:noProof/>
                <w:webHidden/>
              </w:rPr>
              <w:fldChar w:fldCharType="begin"/>
            </w:r>
            <w:r w:rsidR="00697747">
              <w:rPr>
                <w:noProof/>
                <w:webHidden/>
              </w:rPr>
              <w:instrText xml:space="preserve"> PAGEREF _Toc514426066 \h </w:instrText>
            </w:r>
            <w:r w:rsidR="00697747">
              <w:rPr>
                <w:noProof/>
                <w:webHidden/>
              </w:rPr>
            </w:r>
            <w:r w:rsidR="00697747">
              <w:rPr>
                <w:noProof/>
                <w:webHidden/>
              </w:rPr>
              <w:fldChar w:fldCharType="separate"/>
            </w:r>
            <w:r w:rsidR="00697747">
              <w:rPr>
                <w:noProof/>
                <w:webHidden/>
              </w:rPr>
              <w:t>15</w:t>
            </w:r>
            <w:r w:rsidR="00697747">
              <w:rPr>
                <w:noProof/>
                <w:webHidden/>
              </w:rPr>
              <w:fldChar w:fldCharType="end"/>
            </w:r>
          </w:hyperlink>
        </w:p>
        <w:p w:rsidR="00697747" w:rsidRDefault="002F4E0C">
          <w:pPr>
            <w:pStyle w:val="TOC3"/>
            <w:tabs>
              <w:tab w:val="right" w:leader="dot" w:pos="9743"/>
            </w:tabs>
            <w:rPr>
              <w:rFonts w:eastAsiaTheme="minorEastAsia"/>
              <w:noProof/>
              <w:lang w:val="en-IE" w:eastAsia="en-IE"/>
            </w:rPr>
          </w:pPr>
          <w:hyperlink w:anchor="_Toc514426067" w:history="1">
            <w:r w:rsidR="00697747" w:rsidRPr="000E7C52">
              <w:rPr>
                <w:rStyle w:val="Hyperlink"/>
                <w:noProof/>
              </w:rPr>
              <w:t>Databases held in HRB with data supplied by HSE-funded service providers</w:t>
            </w:r>
            <w:r w:rsidR="00697747">
              <w:rPr>
                <w:noProof/>
                <w:webHidden/>
              </w:rPr>
              <w:tab/>
            </w:r>
            <w:r w:rsidR="00697747">
              <w:rPr>
                <w:noProof/>
                <w:webHidden/>
              </w:rPr>
              <w:fldChar w:fldCharType="begin"/>
            </w:r>
            <w:r w:rsidR="00697747">
              <w:rPr>
                <w:noProof/>
                <w:webHidden/>
              </w:rPr>
              <w:instrText xml:space="preserve"> PAGEREF _Toc514426067 \h </w:instrText>
            </w:r>
            <w:r w:rsidR="00697747">
              <w:rPr>
                <w:noProof/>
                <w:webHidden/>
              </w:rPr>
            </w:r>
            <w:r w:rsidR="00697747">
              <w:rPr>
                <w:noProof/>
                <w:webHidden/>
              </w:rPr>
              <w:fldChar w:fldCharType="separate"/>
            </w:r>
            <w:r w:rsidR="00697747">
              <w:rPr>
                <w:noProof/>
                <w:webHidden/>
              </w:rPr>
              <w:t>16</w:t>
            </w:r>
            <w:r w:rsidR="00697747">
              <w:rPr>
                <w:noProof/>
                <w:webHidden/>
              </w:rPr>
              <w:fldChar w:fldCharType="end"/>
            </w:r>
          </w:hyperlink>
        </w:p>
        <w:p w:rsidR="00697747" w:rsidRDefault="002F4E0C">
          <w:pPr>
            <w:pStyle w:val="TOC3"/>
            <w:tabs>
              <w:tab w:val="right" w:leader="dot" w:pos="9743"/>
            </w:tabs>
            <w:rPr>
              <w:rFonts w:eastAsiaTheme="minorEastAsia"/>
              <w:noProof/>
              <w:lang w:val="en-IE" w:eastAsia="en-IE"/>
            </w:rPr>
          </w:pPr>
          <w:hyperlink w:anchor="_Toc514426068" w:history="1">
            <w:r w:rsidR="00697747" w:rsidRPr="000E7C52">
              <w:rPr>
                <w:rStyle w:val="Hyperlink"/>
                <w:noProof/>
              </w:rPr>
              <w:t>Accounting and Finance</w:t>
            </w:r>
            <w:r w:rsidR="00697747">
              <w:rPr>
                <w:noProof/>
                <w:webHidden/>
              </w:rPr>
              <w:tab/>
            </w:r>
            <w:r w:rsidR="00697747">
              <w:rPr>
                <w:noProof/>
                <w:webHidden/>
              </w:rPr>
              <w:fldChar w:fldCharType="begin"/>
            </w:r>
            <w:r w:rsidR="00697747">
              <w:rPr>
                <w:noProof/>
                <w:webHidden/>
              </w:rPr>
              <w:instrText xml:space="preserve"> PAGEREF _Toc514426068 \h </w:instrText>
            </w:r>
            <w:r w:rsidR="00697747">
              <w:rPr>
                <w:noProof/>
                <w:webHidden/>
              </w:rPr>
            </w:r>
            <w:r w:rsidR="00697747">
              <w:rPr>
                <w:noProof/>
                <w:webHidden/>
              </w:rPr>
              <w:fldChar w:fldCharType="separate"/>
            </w:r>
            <w:r w:rsidR="00697747">
              <w:rPr>
                <w:noProof/>
                <w:webHidden/>
              </w:rPr>
              <w:t>17</w:t>
            </w:r>
            <w:r w:rsidR="00697747">
              <w:rPr>
                <w:noProof/>
                <w:webHidden/>
              </w:rPr>
              <w:fldChar w:fldCharType="end"/>
            </w:r>
          </w:hyperlink>
        </w:p>
        <w:p w:rsidR="00697747" w:rsidRDefault="002F4E0C">
          <w:pPr>
            <w:pStyle w:val="TOC3"/>
            <w:tabs>
              <w:tab w:val="right" w:leader="dot" w:pos="9743"/>
            </w:tabs>
            <w:rPr>
              <w:rFonts w:eastAsiaTheme="minorEastAsia"/>
              <w:noProof/>
              <w:lang w:val="en-IE" w:eastAsia="en-IE"/>
            </w:rPr>
          </w:pPr>
          <w:hyperlink w:anchor="_Toc514426069" w:history="1">
            <w:r w:rsidR="00697747" w:rsidRPr="000E7C52">
              <w:rPr>
                <w:rStyle w:val="Hyperlink"/>
                <w:noProof/>
              </w:rPr>
              <w:t>Tax Records</w:t>
            </w:r>
            <w:r w:rsidR="00697747">
              <w:rPr>
                <w:noProof/>
                <w:webHidden/>
              </w:rPr>
              <w:tab/>
            </w:r>
            <w:r w:rsidR="00697747">
              <w:rPr>
                <w:noProof/>
                <w:webHidden/>
              </w:rPr>
              <w:fldChar w:fldCharType="begin"/>
            </w:r>
            <w:r w:rsidR="00697747">
              <w:rPr>
                <w:noProof/>
                <w:webHidden/>
              </w:rPr>
              <w:instrText xml:space="preserve"> PAGEREF _Toc514426069 \h </w:instrText>
            </w:r>
            <w:r w:rsidR="00697747">
              <w:rPr>
                <w:noProof/>
                <w:webHidden/>
              </w:rPr>
            </w:r>
            <w:r w:rsidR="00697747">
              <w:rPr>
                <w:noProof/>
                <w:webHidden/>
              </w:rPr>
              <w:fldChar w:fldCharType="separate"/>
            </w:r>
            <w:r w:rsidR="00697747">
              <w:rPr>
                <w:noProof/>
                <w:webHidden/>
              </w:rPr>
              <w:t>17</w:t>
            </w:r>
            <w:r w:rsidR="00697747">
              <w:rPr>
                <w:noProof/>
                <w:webHidden/>
              </w:rPr>
              <w:fldChar w:fldCharType="end"/>
            </w:r>
          </w:hyperlink>
        </w:p>
        <w:p w:rsidR="00697747" w:rsidRDefault="002F4E0C">
          <w:pPr>
            <w:pStyle w:val="TOC3"/>
            <w:tabs>
              <w:tab w:val="right" w:leader="dot" w:pos="9743"/>
            </w:tabs>
            <w:rPr>
              <w:rFonts w:eastAsiaTheme="minorEastAsia"/>
              <w:noProof/>
              <w:lang w:val="en-IE" w:eastAsia="en-IE"/>
            </w:rPr>
          </w:pPr>
          <w:hyperlink w:anchor="_Toc514426070" w:history="1">
            <w:r w:rsidR="00697747" w:rsidRPr="000E7C52">
              <w:rPr>
                <w:rStyle w:val="Hyperlink"/>
                <w:noProof/>
              </w:rPr>
              <w:t>Legal and Insurance Records</w:t>
            </w:r>
            <w:r w:rsidR="00697747">
              <w:rPr>
                <w:noProof/>
                <w:webHidden/>
              </w:rPr>
              <w:tab/>
            </w:r>
            <w:r w:rsidR="00697747">
              <w:rPr>
                <w:noProof/>
                <w:webHidden/>
              </w:rPr>
              <w:fldChar w:fldCharType="begin"/>
            </w:r>
            <w:r w:rsidR="00697747">
              <w:rPr>
                <w:noProof/>
                <w:webHidden/>
              </w:rPr>
              <w:instrText xml:space="preserve"> PAGEREF _Toc514426070 \h </w:instrText>
            </w:r>
            <w:r w:rsidR="00697747">
              <w:rPr>
                <w:noProof/>
                <w:webHidden/>
              </w:rPr>
            </w:r>
            <w:r w:rsidR="00697747">
              <w:rPr>
                <w:noProof/>
                <w:webHidden/>
              </w:rPr>
              <w:fldChar w:fldCharType="separate"/>
            </w:r>
            <w:r w:rsidR="00697747">
              <w:rPr>
                <w:noProof/>
                <w:webHidden/>
              </w:rPr>
              <w:t>18</w:t>
            </w:r>
            <w:r w:rsidR="00697747">
              <w:rPr>
                <w:noProof/>
                <w:webHidden/>
              </w:rPr>
              <w:fldChar w:fldCharType="end"/>
            </w:r>
          </w:hyperlink>
        </w:p>
        <w:p w:rsidR="00A25B9F" w:rsidRDefault="00626FCF" w:rsidP="005D6022">
          <w:r>
            <w:rPr>
              <w:b/>
              <w:bCs/>
              <w:noProof/>
            </w:rPr>
            <w:fldChar w:fldCharType="end"/>
          </w:r>
        </w:p>
      </w:sdtContent>
    </w:sdt>
    <w:p w:rsidR="005D6022" w:rsidRDefault="005D6022" w:rsidP="00A92419">
      <w:pPr>
        <w:pStyle w:val="Heading1"/>
      </w:pPr>
      <w:bookmarkStart w:id="0" w:name="_Toc514426045"/>
      <w:r>
        <w:lastRenderedPageBreak/>
        <w:t>The purpose of this policy</w:t>
      </w:r>
      <w:bookmarkEnd w:id="0"/>
    </w:p>
    <w:p w:rsidR="00A92419" w:rsidRDefault="00A92419" w:rsidP="005D6022"/>
    <w:p w:rsidR="00A92419" w:rsidRDefault="00A92419" w:rsidP="005D6022">
      <w:r>
        <w:t xml:space="preserve">The </w:t>
      </w:r>
      <w:r w:rsidR="005D6022">
        <w:t>HRB are firmly committed to complying with our data protection obligations. In this context, and to achieve consistency and excellence of service, we believe that it is important to have a policy setting out ho</w:t>
      </w:r>
      <w:r>
        <w:t xml:space="preserve">w we manage document retention. </w:t>
      </w:r>
    </w:p>
    <w:p w:rsidR="00A92419" w:rsidRDefault="00A92419" w:rsidP="005D6022"/>
    <w:p w:rsidR="00A92419" w:rsidRDefault="005D6022" w:rsidP="005D6022">
      <w:r>
        <w:t>The Data Protection Acts 1988 and 2003 (as amended) (the “DPA”) and, from 25 May 2018, the General Data Protection Regulation (the “GDPR”) impose obligations on us, as a Data Controller, to process personal data in a fair manner which notifies data subjects of the purposes of data processing and to retain the data for no longer than is necessary to achi</w:t>
      </w:r>
      <w:r w:rsidR="00A92419">
        <w:t xml:space="preserve">eve those purposes. </w:t>
      </w:r>
    </w:p>
    <w:p w:rsidR="00A92419" w:rsidRDefault="00A92419" w:rsidP="005D6022"/>
    <w:p w:rsidR="00A92419" w:rsidRDefault="005D6022" w:rsidP="005D6022">
      <w:r>
        <w:t>Under these rules, individuals have a right to be informed about how their personal data is processed. The GDPR sets out the information that we should supply to individuals and when individuals should be informed of this information. We are obliged to provide individuals with information on our retention periods or criteria used to de</w:t>
      </w:r>
      <w:r w:rsidR="00A92419">
        <w:t xml:space="preserve">termine the retention periods. </w:t>
      </w:r>
    </w:p>
    <w:p w:rsidR="00A92419" w:rsidRDefault="00A92419" w:rsidP="005D6022"/>
    <w:p w:rsidR="005D6022" w:rsidRDefault="005D6022" w:rsidP="00A92419">
      <w:pPr>
        <w:pStyle w:val="Heading2"/>
      </w:pPr>
      <w:bookmarkStart w:id="1" w:name="_Toc514426046"/>
      <w:r>
        <w:t>Grounds for processing</w:t>
      </w:r>
      <w:bookmarkEnd w:id="1"/>
    </w:p>
    <w:p w:rsidR="00A92419" w:rsidRDefault="00A92419" w:rsidP="005D6022"/>
    <w:p w:rsidR="005D6022" w:rsidRDefault="005D6022" w:rsidP="005D6022">
      <w:r>
        <w:t xml:space="preserve">Under the DPAs and the GDPR, HRB are required to provide data subjects with the legal grounds or lawful basis that they are relying on for processing personal data. </w:t>
      </w:r>
    </w:p>
    <w:p w:rsidR="005D6022" w:rsidRDefault="005D6022" w:rsidP="005D6022">
      <w:r>
        <w:t>The legal grounds for processing personal data are as follows:</w:t>
      </w:r>
    </w:p>
    <w:p w:rsidR="00A92419" w:rsidRDefault="00A92419" w:rsidP="005D6022"/>
    <w:p w:rsidR="00A92419" w:rsidRDefault="00A92419" w:rsidP="00A92419">
      <w:pPr>
        <w:pStyle w:val="ListParagraph"/>
        <w:numPr>
          <w:ilvl w:val="0"/>
          <w:numId w:val="14"/>
        </w:numPr>
      </w:pPr>
      <w:r>
        <w:t>Consent;</w:t>
      </w:r>
    </w:p>
    <w:p w:rsidR="00A92419" w:rsidRDefault="00A92419" w:rsidP="00A92419">
      <w:pPr>
        <w:pStyle w:val="ListParagraph"/>
        <w:numPr>
          <w:ilvl w:val="0"/>
          <w:numId w:val="14"/>
        </w:numPr>
      </w:pPr>
      <w:r>
        <w:t>Performance of a contract;</w:t>
      </w:r>
    </w:p>
    <w:p w:rsidR="00A92419" w:rsidRDefault="00A92419" w:rsidP="00A92419">
      <w:pPr>
        <w:pStyle w:val="ListParagraph"/>
        <w:numPr>
          <w:ilvl w:val="0"/>
          <w:numId w:val="14"/>
        </w:numPr>
      </w:pPr>
      <w:r>
        <w:t>Legal obligation;</w:t>
      </w:r>
    </w:p>
    <w:p w:rsidR="00A92419" w:rsidRDefault="00A92419" w:rsidP="00A92419">
      <w:pPr>
        <w:pStyle w:val="ListParagraph"/>
        <w:numPr>
          <w:ilvl w:val="0"/>
          <w:numId w:val="14"/>
        </w:numPr>
      </w:pPr>
      <w:r>
        <w:t xml:space="preserve">Vital interest; </w:t>
      </w:r>
    </w:p>
    <w:p w:rsidR="005D6022" w:rsidRDefault="005D6022" w:rsidP="00A92419">
      <w:pPr>
        <w:pStyle w:val="ListParagraph"/>
        <w:numPr>
          <w:ilvl w:val="0"/>
          <w:numId w:val="14"/>
        </w:numPr>
      </w:pPr>
      <w:r>
        <w:t xml:space="preserve">Public interest; </w:t>
      </w:r>
    </w:p>
    <w:p w:rsidR="00A92419" w:rsidRDefault="00A92419" w:rsidP="005D6022"/>
    <w:p w:rsidR="005D6022" w:rsidRDefault="005D6022" w:rsidP="005D6022">
      <w:r>
        <w:t>Explicit consent or an alternative limited lawful basis is required where special categories, also known as sensitive personal data are being processed.</w:t>
      </w:r>
    </w:p>
    <w:p w:rsidR="00A92419" w:rsidRDefault="005D6022" w:rsidP="005D6022">
      <w:r>
        <w:t xml:space="preserve">If there is no justification for retaining personal information, then that information should be routinely deleted. Information should never be kept "just in case" a use can be found for it in the future. If we want to </w:t>
      </w:r>
      <w:r>
        <w:lastRenderedPageBreak/>
        <w:t>retain information about our clients to help us to provide a better service to them in the future, we must ob</w:t>
      </w:r>
      <w:r w:rsidR="00A92419">
        <w:t xml:space="preserve">tain their consent in advance. </w:t>
      </w:r>
    </w:p>
    <w:p w:rsidR="00A92419" w:rsidRDefault="00A92419" w:rsidP="005D6022"/>
    <w:p w:rsidR="005D6022" w:rsidRDefault="005D6022" w:rsidP="00A92419">
      <w:pPr>
        <w:pStyle w:val="Heading2"/>
      </w:pPr>
      <w:bookmarkStart w:id="2" w:name="_Toc514426047"/>
      <w:r>
        <w:t>Further processing</w:t>
      </w:r>
      <w:bookmarkEnd w:id="2"/>
      <w:r>
        <w:t xml:space="preserve"> </w:t>
      </w:r>
    </w:p>
    <w:p w:rsidR="00A92419" w:rsidRDefault="00A92419" w:rsidP="005D6022"/>
    <w:p w:rsidR="00A92419" w:rsidRDefault="005D6022" w:rsidP="005D6022">
      <w:r>
        <w:t>Further retention of the personal data should be lawful only when it is compatible with the purposes/consent for which it was originally collected. In this case no separate legal basis is required - it should be relied on where it is necessary, for exercising the right of freedom of expression and information, for compliance with a legal obligation, for the performance of a task carried out in the public interest or in the exercise of official authority vested in the data controller, on the grounds of public interest in the area of public health, for archiving purposes in the public interest, scientific or historical research purposes or statistical purposes, or for the establishment, exercise or defence of legal claims, the benefit of the owner of the personal data for post contractu</w:t>
      </w:r>
      <w:r w:rsidR="00A92419">
        <w:t xml:space="preserve">al obligations or requirements. </w:t>
      </w:r>
    </w:p>
    <w:p w:rsidR="00A92419" w:rsidRDefault="00A92419" w:rsidP="005D6022"/>
    <w:p w:rsidR="005D6022" w:rsidRDefault="005D6022" w:rsidP="00A92419">
      <w:pPr>
        <w:pStyle w:val="Heading2"/>
      </w:pPr>
      <w:bookmarkStart w:id="3" w:name="_Toc514426048"/>
      <w:r>
        <w:t>Right of erasure</w:t>
      </w:r>
      <w:bookmarkEnd w:id="3"/>
    </w:p>
    <w:p w:rsidR="00A92419" w:rsidRDefault="00A92419" w:rsidP="005D6022"/>
    <w:p w:rsidR="00A92419" w:rsidRDefault="005D6022" w:rsidP="005D6022">
      <w:r>
        <w:t xml:space="preserve">Individuals have the right to have their personal data erased and no longer processed </w:t>
      </w:r>
      <w:r w:rsidR="00A92419">
        <w:t xml:space="preserve">in the following circumstances: </w:t>
      </w:r>
    </w:p>
    <w:p w:rsidR="00A92419" w:rsidRDefault="00A92419" w:rsidP="005D6022"/>
    <w:p w:rsidR="00A92419" w:rsidRDefault="005D6022" w:rsidP="00A92419">
      <w:pPr>
        <w:pStyle w:val="ListParagraph"/>
        <w:numPr>
          <w:ilvl w:val="0"/>
          <w:numId w:val="15"/>
        </w:numPr>
      </w:pPr>
      <w:r>
        <w:t>where the personal data are no longer necessary in relation to the purposes for which they are col</w:t>
      </w:r>
      <w:r w:rsidR="00A92419">
        <w:t xml:space="preserve">lected or otherwise processed, </w:t>
      </w:r>
    </w:p>
    <w:p w:rsidR="00A92419" w:rsidRDefault="005D6022" w:rsidP="00A92419">
      <w:pPr>
        <w:pStyle w:val="ListParagraph"/>
        <w:numPr>
          <w:ilvl w:val="0"/>
          <w:numId w:val="15"/>
        </w:numPr>
      </w:pPr>
      <w:r>
        <w:t xml:space="preserve">where a data subject has withdrawn his or her consent or objects to the processing of personal </w:t>
      </w:r>
      <w:r w:rsidR="00A92419">
        <w:t xml:space="preserve">data concerning him or her, or </w:t>
      </w:r>
    </w:p>
    <w:p w:rsidR="005D6022" w:rsidRDefault="005D6022" w:rsidP="00A92419">
      <w:pPr>
        <w:pStyle w:val="ListParagraph"/>
        <w:numPr>
          <w:ilvl w:val="0"/>
          <w:numId w:val="15"/>
        </w:numPr>
      </w:pPr>
      <w:r>
        <w:t>where the processing of his or her personal data does not otherwise comply with the GDPR.</w:t>
      </w:r>
    </w:p>
    <w:p w:rsidR="00A92419" w:rsidRDefault="00A92419" w:rsidP="005D6022"/>
    <w:p w:rsidR="005D6022" w:rsidRDefault="005D6022" w:rsidP="005D6022">
      <w:r>
        <w:t>That right is relevant in particular where the data subject has given his or her consent as a child and is not fully aware of the risks involved by the processing and later wants to remove such personal data, especially on the internet.</w:t>
      </w:r>
    </w:p>
    <w:p w:rsidR="00A92419" w:rsidRDefault="005D6022" w:rsidP="005D6022">
      <w:r>
        <w:t>The data subject shall be able to exercise that right notwithstanding the fact that he or she is no longer</w:t>
      </w:r>
      <w:r w:rsidR="00A92419">
        <w:t xml:space="preserve"> a child. </w:t>
      </w:r>
    </w:p>
    <w:p w:rsidR="00A92419" w:rsidRDefault="00A92419" w:rsidP="005D6022"/>
    <w:p w:rsidR="005D6022" w:rsidRDefault="005D6022" w:rsidP="00A92419">
      <w:pPr>
        <w:pStyle w:val="Heading1"/>
      </w:pPr>
      <w:bookmarkStart w:id="4" w:name="_Toc514426049"/>
      <w:r>
        <w:lastRenderedPageBreak/>
        <w:t>Document Retention Procedure</w:t>
      </w:r>
      <w:bookmarkEnd w:id="4"/>
    </w:p>
    <w:p w:rsidR="00A92419" w:rsidRDefault="00A92419" w:rsidP="005D6022"/>
    <w:p w:rsidR="005D6022" w:rsidRDefault="005D6022" w:rsidP="005D6022">
      <w:r>
        <w:t>As an organisation or company, we are required to retain certain records, usually for a specific amount of time. The accidental or intentional destruction of these records during their specified retention periods could result in the following consequences:</w:t>
      </w:r>
    </w:p>
    <w:p w:rsidR="00A92419" w:rsidRDefault="00A92419" w:rsidP="005D6022"/>
    <w:p w:rsidR="00A92419" w:rsidRDefault="00A92419" w:rsidP="00A92419">
      <w:pPr>
        <w:pStyle w:val="ListParagraph"/>
        <w:numPr>
          <w:ilvl w:val="0"/>
          <w:numId w:val="16"/>
        </w:numPr>
      </w:pPr>
      <w:r>
        <w:t>Fines and penalties.</w:t>
      </w:r>
    </w:p>
    <w:p w:rsidR="00A92419" w:rsidRDefault="00A92419" w:rsidP="00A92419">
      <w:pPr>
        <w:pStyle w:val="ListParagraph"/>
        <w:numPr>
          <w:ilvl w:val="0"/>
          <w:numId w:val="16"/>
        </w:numPr>
      </w:pPr>
      <w:r>
        <w:t xml:space="preserve">Loss of rights. </w:t>
      </w:r>
    </w:p>
    <w:p w:rsidR="00A92419" w:rsidRDefault="00A92419" w:rsidP="00A92419">
      <w:pPr>
        <w:pStyle w:val="ListParagraph"/>
        <w:numPr>
          <w:ilvl w:val="0"/>
          <w:numId w:val="16"/>
        </w:numPr>
      </w:pPr>
      <w:r>
        <w:t xml:space="preserve">Obstruction of justice charges. </w:t>
      </w:r>
    </w:p>
    <w:p w:rsidR="00A92419" w:rsidRDefault="00A92419" w:rsidP="00A92419">
      <w:pPr>
        <w:pStyle w:val="ListParagraph"/>
        <w:numPr>
          <w:ilvl w:val="0"/>
          <w:numId w:val="16"/>
        </w:numPr>
      </w:pPr>
      <w:r>
        <w:t xml:space="preserve">Contempt of court charges. </w:t>
      </w:r>
    </w:p>
    <w:p w:rsidR="00A92419" w:rsidRDefault="005D6022" w:rsidP="00A92419">
      <w:pPr>
        <w:pStyle w:val="ListParagraph"/>
        <w:numPr>
          <w:ilvl w:val="0"/>
          <w:numId w:val="16"/>
        </w:numPr>
      </w:pPr>
      <w:r>
        <w:t>Serio</w:t>
      </w:r>
      <w:r w:rsidR="00A92419">
        <w:t xml:space="preserve">us disadvantages in litigation. </w:t>
      </w:r>
    </w:p>
    <w:p w:rsidR="005D6022" w:rsidRDefault="005D6022" w:rsidP="00A92419">
      <w:pPr>
        <w:pStyle w:val="ListParagraph"/>
        <w:numPr>
          <w:ilvl w:val="0"/>
          <w:numId w:val="16"/>
        </w:numPr>
      </w:pPr>
      <w:r>
        <w:t>Disadvantage to the owner of the data</w:t>
      </w:r>
    </w:p>
    <w:p w:rsidR="00A92419" w:rsidRDefault="00A92419" w:rsidP="005D6022"/>
    <w:p w:rsidR="005D6022" w:rsidRDefault="005D6022" w:rsidP="005D6022">
      <w:r>
        <w:t>We must retain certain records because they contain information that:</w:t>
      </w:r>
    </w:p>
    <w:p w:rsidR="00A92419" w:rsidRDefault="00A92419" w:rsidP="005D6022"/>
    <w:p w:rsidR="00A92419" w:rsidRDefault="005D6022" w:rsidP="00A92419">
      <w:pPr>
        <w:pStyle w:val="ListParagraph"/>
        <w:numPr>
          <w:ilvl w:val="0"/>
          <w:numId w:val="17"/>
        </w:numPr>
      </w:pPr>
      <w:r>
        <w:t xml:space="preserve">Serves </w:t>
      </w:r>
      <w:r w:rsidR="00A92419">
        <w:t xml:space="preserve">as HRB’s organisational memory. </w:t>
      </w:r>
    </w:p>
    <w:p w:rsidR="00A92419" w:rsidRDefault="005D6022" w:rsidP="00A92419">
      <w:pPr>
        <w:pStyle w:val="ListParagraph"/>
        <w:numPr>
          <w:ilvl w:val="0"/>
          <w:numId w:val="17"/>
        </w:numPr>
      </w:pPr>
      <w:r>
        <w:t>Have enduring business value (for example, they provide a record of a business transaction, evidence HRB’s rights or obligations, protect our legal interests or ensure opera</w:t>
      </w:r>
      <w:r w:rsidR="00A92419">
        <w:t xml:space="preserve">tional continuity. </w:t>
      </w:r>
    </w:p>
    <w:p w:rsidR="005D6022" w:rsidRDefault="005D6022" w:rsidP="00A92419">
      <w:pPr>
        <w:pStyle w:val="ListParagraph"/>
        <w:numPr>
          <w:ilvl w:val="0"/>
          <w:numId w:val="17"/>
        </w:numPr>
      </w:pPr>
      <w:r>
        <w:t>Must be kept in order to satisfy legal, accounting or other regulatory requirements.</w:t>
      </w:r>
    </w:p>
    <w:p w:rsidR="00A92419" w:rsidRDefault="00A92419" w:rsidP="005D6022"/>
    <w:p w:rsidR="00A92419" w:rsidRDefault="005D6022" w:rsidP="005D6022">
      <w:r>
        <w:t>We must balance these requirements with our statutory obligation to only keep records for the period required and to comply with data minimisation principles. The retention schedule below sets out the relevant periods for th</w:t>
      </w:r>
      <w:r w:rsidR="00A92419">
        <w:t xml:space="preserve">e retention of HRB’s documents. </w:t>
      </w:r>
    </w:p>
    <w:p w:rsidR="005D6022" w:rsidRDefault="005D6022" w:rsidP="00A92419">
      <w:pPr>
        <w:pStyle w:val="Heading1"/>
      </w:pPr>
      <w:bookmarkStart w:id="5" w:name="_Toc514426050"/>
      <w:r>
        <w:t>Types of Documents</w:t>
      </w:r>
      <w:bookmarkEnd w:id="5"/>
    </w:p>
    <w:p w:rsidR="00A92419" w:rsidRDefault="00A92419" w:rsidP="005D6022"/>
    <w:p w:rsidR="00520E89" w:rsidRDefault="005D6022" w:rsidP="005D6022">
      <w:r>
        <w:t>This policy explains the differences among records, disposable information, personal data and confidential information belonging</w:t>
      </w:r>
      <w:r w:rsidR="00520E89">
        <w:t xml:space="preserve"> to others. </w:t>
      </w:r>
    </w:p>
    <w:p w:rsidR="00520E89" w:rsidRDefault="00520E89" w:rsidP="005D6022"/>
    <w:p w:rsidR="005D6022" w:rsidRDefault="005D6022" w:rsidP="00520E89">
      <w:pPr>
        <w:pStyle w:val="Heading2"/>
      </w:pPr>
      <w:bookmarkStart w:id="6" w:name="_Toc514426051"/>
      <w:r>
        <w:t>Records</w:t>
      </w:r>
      <w:bookmarkEnd w:id="6"/>
      <w:r>
        <w:t xml:space="preserve"> </w:t>
      </w:r>
    </w:p>
    <w:p w:rsidR="00520E89" w:rsidRDefault="00520E89" w:rsidP="005D6022"/>
    <w:p w:rsidR="00520E89" w:rsidRDefault="005D6022" w:rsidP="005D6022">
      <w:r>
        <w:t xml:space="preserve">A record is any type of information created, received or transmitted in the transaction of HRB’s business, regardless of physical format. Examples of where the various types </w:t>
      </w:r>
      <w:r w:rsidR="00520E89">
        <w:t xml:space="preserve">of information are located are: </w:t>
      </w:r>
    </w:p>
    <w:p w:rsidR="00520E89" w:rsidRDefault="00520E89" w:rsidP="005D6022"/>
    <w:p w:rsidR="00520E89" w:rsidRDefault="005D6022" w:rsidP="00520E89">
      <w:pPr>
        <w:pStyle w:val="ListParagraph"/>
        <w:numPr>
          <w:ilvl w:val="0"/>
          <w:numId w:val="18"/>
        </w:numPr>
      </w:pPr>
      <w:r>
        <w:t xml:space="preserve">Appointment books and </w:t>
      </w:r>
      <w:r w:rsidR="00520E89">
        <w:t xml:space="preserve">calendars. </w:t>
      </w:r>
    </w:p>
    <w:p w:rsidR="00520E89" w:rsidRDefault="00520E89" w:rsidP="00520E89">
      <w:pPr>
        <w:pStyle w:val="ListParagraph"/>
        <w:numPr>
          <w:ilvl w:val="0"/>
          <w:numId w:val="18"/>
        </w:numPr>
      </w:pPr>
      <w:r>
        <w:t xml:space="preserve">Audio and video recordings. </w:t>
      </w:r>
    </w:p>
    <w:p w:rsidR="00520E89" w:rsidRDefault="00520E89" w:rsidP="00520E89">
      <w:pPr>
        <w:pStyle w:val="ListParagraph"/>
        <w:numPr>
          <w:ilvl w:val="0"/>
          <w:numId w:val="18"/>
        </w:numPr>
      </w:pPr>
      <w:r>
        <w:t xml:space="preserve">Computer programs. </w:t>
      </w:r>
    </w:p>
    <w:p w:rsidR="00520E89" w:rsidRDefault="00520E89" w:rsidP="00520E89">
      <w:pPr>
        <w:pStyle w:val="ListParagraph"/>
        <w:numPr>
          <w:ilvl w:val="0"/>
          <w:numId w:val="18"/>
        </w:numPr>
      </w:pPr>
      <w:r>
        <w:t xml:space="preserve">Contracts. </w:t>
      </w:r>
    </w:p>
    <w:p w:rsidR="00520E89" w:rsidRDefault="00520E89" w:rsidP="00520E89">
      <w:pPr>
        <w:pStyle w:val="ListParagraph"/>
        <w:numPr>
          <w:ilvl w:val="0"/>
          <w:numId w:val="18"/>
        </w:numPr>
      </w:pPr>
      <w:r>
        <w:t xml:space="preserve">Electronic files. </w:t>
      </w:r>
    </w:p>
    <w:p w:rsidR="00520E89" w:rsidRDefault="00520E89" w:rsidP="00520E89">
      <w:pPr>
        <w:pStyle w:val="ListParagraph"/>
        <w:numPr>
          <w:ilvl w:val="0"/>
          <w:numId w:val="18"/>
        </w:numPr>
      </w:pPr>
      <w:r>
        <w:t xml:space="preserve">E-mails. </w:t>
      </w:r>
    </w:p>
    <w:p w:rsidR="00520E89" w:rsidRDefault="00520E89" w:rsidP="00520E89">
      <w:pPr>
        <w:pStyle w:val="ListParagraph"/>
        <w:numPr>
          <w:ilvl w:val="0"/>
          <w:numId w:val="18"/>
        </w:numPr>
      </w:pPr>
      <w:r>
        <w:t xml:space="preserve">Handwritten notes. </w:t>
      </w:r>
    </w:p>
    <w:p w:rsidR="00520E89" w:rsidRDefault="00520E89" w:rsidP="00520E89">
      <w:pPr>
        <w:pStyle w:val="ListParagraph"/>
        <w:numPr>
          <w:ilvl w:val="0"/>
          <w:numId w:val="18"/>
        </w:numPr>
      </w:pPr>
      <w:r>
        <w:t xml:space="preserve">Invoices. </w:t>
      </w:r>
    </w:p>
    <w:p w:rsidR="00520E89" w:rsidRDefault="005D6022" w:rsidP="00520E89">
      <w:pPr>
        <w:pStyle w:val="ListParagraph"/>
        <w:numPr>
          <w:ilvl w:val="0"/>
          <w:numId w:val="18"/>
        </w:numPr>
      </w:pPr>
      <w:r>
        <w:t>Le</w:t>
      </w:r>
      <w:r w:rsidR="00520E89">
        <w:t xml:space="preserve">tters and other correspondence. </w:t>
      </w:r>
    </w:p>
    <w:p w:rsidR="00520E89" w:rsidRDefault="00520E89" w:rsidP="00520E89">
      <w:pPr>
        <w:pStyle w:val="ListParagraph"/>
        <w:numPr>
          <w:ilvl w:val="0"/>
          <w:numId w:val="18"/>
        </w:numPr>
      </w:pPr>
      <w:r>
        <w:t xml:space="preserve">Magnetic tape. </w:t>
      </w:r>
    </w:p>
    <w:p w:rsidR="00520E89" w:rsidRDefault="005D6022" w:rsidP="00520E89">
      <w:pPr>
        <w:pStyle w:val="ListParagraph"/>
        <w:numPr>
          <w:ilvl w:val="0"/>
          <w:numId w:val="18"/>
        </w:numPr>
      </w:pPr>
      <w:r>
        <w:t>Me</w:t>
      </w:r>
      <w:r w:rsidR="00520E89">
        <w:t xml:space="preserve">mory in mobile phones and PDAs. </w:t>
      </w:r>
    </w:p>
    <w:p w:rsidR="00520E89" w:rsidRDefault="005D6022" w:rsidP="00520E89">
      <w:pPr>
        <w:pStyle w:val="ListParagraph"/>
        <w:numPr>
          <w:ilvl w:val="0"/>
          <w:numId w:val="18"/>
        </w:numPr>
      </w:pPr>
      <w:r>
        <w:t>Online postings, such as on Facebook,</w:t>
      </w:r>
      <w:r w:rsidR="00520E89">
        <w:t xml:space="preserve"> Twitter, Vine and other sites. </w:t>
      </w:r>
    </w:p>
    <w:p w:rsidR="00520E89" w:rsidRDefault="00520E89" w:rsidP="00520E89">
      <w:pPr>
        <w:pStyle w:val="ListParagraph"/>
        <w:numPr>
          <w:ilvl w:val="0"/>
          <w:numId w:val="18"/>
        </w:numPr>
      </w:pPr>
      <w:r>
        <w:t xml:space="preserve">Performance reviews. </w:t>
      </w:r>
    </w:p>
    <w:p w:rsidR="005D6022" w:rsidRDefault="005D6022" w:rsidP="00520E89">
      <w:pPr>
        <w:pStyle w:val="ListParagraph"/>
        <w:numPr>
          <w:ilvl w:val="0"/>
          <w:numId w:val="18"/>
        </w:numPr>
      </w:pPr>
      <w:r>
        <w:t>Voicemails.</w:t>
      </w:r>
    </w:p>
    <w:p w:rsidR="00520E89" w:rsidRDefault="00520E89" w:rsidP="005D6022"/>
    <w:p w:rsidR="005D6022" w:rsidRDefault="005D6022" w:rsidP="005D6022">
      <w:r>
        <w:t xml:space="preserve">Therefore, any paper records and electronic files, that are part of any of the categories listed in the Records Retention Schedule contained in the Appendix to this policy, must be retained for the amount of time indicated in the Records Retention Schedule. </w:t>
      </w:r>
    </w:p>
    <w:p w:rsidR="00520E89" w:rsidRDefault="00520E89" w:rsidP="005D6022"/>
    <w:p w:rsidR="005D6022" w:rsidRDefault="005D6022" w:rsidP="005D6022">
      <w:r>
        <w:t>A record must not be retained beyond the period indicated in the Record Retention Schedule, unless a valid business reason (or a litigation hold or other special situation) calls for its continued retention. If you are unsure whether to retain a certain record, contact the Data Protection Officer.</w:t>
      </w:r>
    </w:p>
    <w:p w:rsidR="005D6022" w:rsidRDefault="005D6022" w:rsidP="005D6022">
      <w:r>
        <w:t>Our Data Protection Officer is: The Director of Corporate Operations</w:t>
      </w:r>
    </w:p>
    <w:p w:rsidR="00520E89" w:rsidRDefault="00520E89" w:rsidP="005D6022"/>
    <w:p w:rsidR="005D6022" w:rsidRDefault="005D6022" w:rsidP="00A615C7">
      <w:pPr>
        <w:pStyle w:val="Heading2"/>
      </w:pPr>
      <w:bookmarkStart w:id="7" w:name="_Toc514426052"/>
      <w:r>
        <w:t>Disposable Information</w:t>
      </w:r>
      <w:bookmarkEnd w:id="7"/>
      <w:r>
        <w:t xml:space="preserve">  </w:t>
      </w:r>
    </w:p>
    <w:p w:rsidR="00520E89" w:rsidRDefault="00520E89" w:rsidP="005D6022"/>
    <w:p w:rsidR="00A615C7" w:rsidRDefault="005D6022" w:rsidP="005D6022">
      <w:r>
        <w:t xml:space="preserve">Disposable information consists of data that may be discarded or deleted at the discretion of the user once it has served its temporary useful purpose and/or data that may be safely destroyed because it is not a record as defined by this policy. Examples may </w:t>
      </w:r>
      <w:r w:rsidR="00A615C7">
        <w:t xml:space="preserve">include: </w:t>
      </w:r>
    </w:p>
    <w:p w:rsidR="00A615C7" w:rsidRDefault="00A615C7" w:rsidP="005D6022"/>
    <w:p w:rsidR="00A615C7" w:rsidRDefault="005D6022" w:rsidP="00A615C7">
      <w:pPr>
        <w:pStyle w:val="ListParagraph"/>
        <w:numPr>
          <w:ilvl w:val="0"/>
          <w:numId w:val="19"/>
        </w:numPr>
      </w:pPr>
      <w:r>
        <w:t>Duplicates of original</w:t>
      </w:r>
      <w:r w:rsidR="00A615C7">
        <w:t xml:space="preserve">s that have not been annotated. </w:t>
      </w:r>
    </w:p>
    <w:p w:rsidR="00A615C7" w:rsidRDefault="005D6022" w:rsidP="00A615C7">
      <w:pPr>
        <w:pStyle w:val="ListParagraph"/>
        <w:numPr>
          <w:ilvl w:val="0"/>
          <w:numId w:val="19"/>
        </w:numPr>
      </w:pPr>
      <w:r>
        <w:lastRenderedPageBreak/>
        <w:t>Preliminary drafts of letters, memoranda, reports, worksheets and informal notes that do not represent significant steps or decisions in the pre</w:t>
      </w:r>
      <w:r w:rsidR="00A615C7">
        <w:t xml:space="preserve">paration of an official record. </w:t>
      </w:r>
    </w:p>
    <w:p w:rsidR="00A615C7" w:rsidRDefault="005D6022" w:rsidP="00A615C7">
      <w:pPr>
        <w:pStyle w:val="ListParagraph"/>
        <w:numPr>
          <w:ilvl w:val="0"/>
          <w:numId w:val="19"/>
        </w:numPr>
      </w:pPr>
      <w:r>
        <w:t>Books, periodicals, manuals, training binders and other printed materials obtained from sources outside of HRB and retained pr</w:t>
      </w:r>
      <w:r w:rsidR="00A615C7">
        <w:t xml:space="preserve">imarily for reference purposes. </w:t>
      </w:r>
    </w:p>
    <w:p w:rsidR="005D6022" w:rsidRDefault="005D6022" w:rsidP="00A615C7">
      <w:pPr>
        <w:pStyle w:val="ListParagraph"/>
        <w:numPr>
          <w:ilvl w:val="0"/>
          <w:numId w:val="19"/>
        </w:numPr>
      </w:pPr>
      <w:r>
        <w:t>Spam and junk mail.</w:t>
      </w:r>
    </w:p>
    <w:p w:rsidR="00520E89" w:rsidRDefault="00520E89" w:rsidP="005D6022"/>
    <w:p w:rsidR="005D6022" w:rsidRDefault="005D6022" w:rsidP="00A615C7">
      <w:pPr>
        <w:pStyle w:val="Heading2"/>
      </w:pPr>
      <w:bookmarkStart w:id="8" w:name="_Toc514426053"/>
      <w:r>
        <w:t>Personal Data</w:t>
      </w:r>
      <w:bookmarkEnd w:id="8"/>
    </w:p>
    <w:p w:rsidR="00A615C7" w:rsidRDefault="00A615C7" w:rsidP="005D6022"/>
    <w:p w:rsidR="00A615C7" w:rsidRDefault="005D6022" w:rsidP="005D6022">
      <w:r>
        <w:t>Personal Data is defined as any data which can identify an individual either on its own or when combined with other data which we possess. Some examples of personal data include names and addresses, email addresses, CVs, details of previous employment, medical records and references. We have specific obligations relating to perso</w:t>
      </w:r>
      <w:r w:rsidR="00A615C7">
        <w:t xml:space="preserve">nal data as set out in the DPA. </w:t>
      </w:r>
    </w:p>
    <w:p w:rsidR="00A615C7" w:rsidRDefault="00A615C7" w:rsidP="005D6022"/>
    <w:p w:rsidR="005D6022" w:rsidRDefault="005D6022" w:rsidP="00A615C7">
      <w:pPr>
        <w:pStyle w:val="Heading2"/>
      </w:pPr>
      <w:bookmarkStart w:id="9" w:name="_Toc514426054"/>
      <w:r>
        <w:t>Confidential Information Belonging to Others</w:t>
      </w:r>
      <w:bookmarkEnd w:id="9"/>
      <w:r>
        <w:t xml:space="preserve">  </w:t>
      </w:r>
    </w:p>
    <w:p w:rsidR="00A615C7" w:rsidRDefault="00A615C7" w:rsidP="005D6022"/>
    <w:p w:rsidR="005D6022" w:rsidRDefault="005D6022" w:rsidP="005D6022">
      <w:r>
        <w:t xml:space="preserve">Any confidential information that an employee may have obtained from a source outside of HRB, such as a previous employer, must not, so long as such information remains confidential, be disclosed to or used by HRB. Unsolicited confidential information submitted to HRB should be refused, returned to the sender where possible and deleted, if received via the internet. </w:t>
      </w:r>
    </w:p>
    <w:p w:rsidR="00A615C7" w:rsidRDefault="00A615C7" w:rsidP="005D6022"/>
    <w:p w:rsidR="005D6022" w:rsidRDefault="005D6022" w:rsidP="00A615C7">
      <w:pPr>
        <w:pStyle w:val="Heading1"/>
      </w:pPr>
      <w:bookmarkStart w:id="10" w:name="_Toc514426055"/>
      <w:r>
        <w:t>The role of the Data Protection Officer in Records Management</w:t>
      </w:r>
      <w:bookmarkEnd w:id="10"/>
    </w:p>
    <w:p w:rsidR="00A615C7" w:rsidRDefault="00A615C7" w:rsidP="005D6022"/>
    <w:p w:rsidR="00A615C7" w:rsidRDefault="005D6022" w:rsidP="005D6022">
      <w:r>
        <w:t>Our Data Protection Officer, in conjunction with senior management, is responsible for identifying the documents that HRB must or should retain, and determining, in collaboration with the Legal Department, the proper period of retention. The responsibilities of the D</w:t>
      </w:r>
      <w:r w:rsidR="00A615C7">
        <w:t>ata Protection Officer include:</w:t>
      </w:r>
    </w:p>
    <w:p w:rsidR="00A615C7" w:rsidRDefault="00A615C7" w:rsidP="005D6022"/>
    <w:p w:rsidR="00A615C7" w:rsidRDefault="005D6022" w:rsidP="00A615C7">
      <w:pPr>
        <w:pStyle w:val="ListParagraph"/>
        <w:numPr>
          <w:ilvl w:val="0"/>
          <w:numId w:val="20"/>
        </w:numPr>
      </w:pPr>
      <w:r>
        <w:t>Arranging for the proper storage and retrieval of records, coordinating with outs</w:t>
      </w:r>
      <w:r w:rsidR="00A615C7">
        <w:t xml:space="preserve">ide vendors where appropriate. </w:t>
      </w:r>
    </w:p>
    <w:p w:rsidR="00A615C7" w:rsidRDefault="005D6022" w:rsidP="00A615C7">
      <w:pPr>
        <w:pStyle w:val="ListParagraph"/>
        <w:numPr>
          <w:ilvl w:val="0"/>
          <w:numId w:val="20"/>
        </w:numPr>
      </w:pPr>
      <w:r>
        <w:t>Handling the destruction of records whose retention period has expired without further notice that the records are being destroyed.</w:t>
      </w:r>
      <w:r w:rsidR="00A615C7">
        <w:t xml:space="preserve"> </w:t>
      </w:r>
    </w:p>
    <w:p w:rsidR="00A615C7" w:rsidRDefault="005D6022" w:rsidP="00A615C7">
      <w:pPr>
        <w:pStyle w:val="ListParagraph"/>
        <w:numPr>
          <w:ilvl w:val="0"/>
          <w:numId w:val="20"/>
        </w:numPr>
      </w:pPr>
      <w:r>
        <w:lastRenderedPageBreak/>
        <w:t>Planning, developing and prescribing document disposal policies, sys</w:t>
      </w:r>
      <w:r w:rsidR="00A615C7">
        <w:t xml:space="preserve">tems, standards and procedures. </w:t>
      </w:r>
    </w:p>
    <w:p w:rsidR="00A615C7" w:rsidRDefault="005D6022" w:rsidP="00A615C7">
      <w:pPr>
        <w:pStyle w:val="ListParagraph"/>
        <w:numPr>
          <w:ilvl w:val="0"/>
          <w:numId w:val="20"/>
        </w:numPr>
      </w:pPr>
      <w:r>
        <w:t>Monitoring departmental compliance so that employees know how to follow the document management procedures and the Legal Department has confidence tha</w:t>
      </w:r>
      <w:r w:rsidR="00A615C7">
        <w:t xml:space="preserve">t HRB’s records are controlled. </w:t>
      </w:r>
    </w:p>
    <w:p w:rsidR="00A615C7" w:rsidRDefault="005D6022" w:rsidP="00A615C7">
      <w:pPr>
        <w:pStyle w:val="ListParagraph"/>
        <w:numPr>
          <w:ilvl w:val="0"/>
          <w:numId w:val="20"/>
        </w:numPr>
      </w:pPr>
      <w:r>
        <w:t>Ensuring that senior management is aware of their departments' docume</w:t>
      </w:r>
      <w:r w:rsidR="00A615C7">
        <w:t xml:space="preserve">nt management responsibilities. </w:t>
      </w:r>
    </w:p>
    <w:p w:rsidR="00A615C7" w:rsidRDefault="005D6022" w:rsidP="00A615C7">
      <w:pPr>
        <w:pStyle w:val="ListParagraph"/>
        <w:numPr>
          <w:ilvl w:val="0"/>
          <w:numId w:val="20"/>
        </w:numPr>
      </w:pPr>
      <w:r>
        <w:t>Developing and implementing measures to ensure that the Legal Department knows what information HRB has and where it is stored, that only authorised users have access to the information, and that HRB keeps only the information it needs, t</w:t>
      </w:r>
      <w:r w:rsidR="00A615C7">
        <w:t xml:space="preserve">hereby efficiently using space. </w:t>
      </w:r>
    </w:p>
    <w:p w:rsidR="00A615C7" w:rsidRDefault="005D6022" w:rsidP="00A615C7">
      <w:pPr>
        <w:pStyle w:val="ListParagraph"/>
        <w:numPr>
          <w:ilvl w:val="0"/>
          <w:numId w:val="20"/>
        </w:numPr>
      </w:pPr>
      <w:r>
        <w:t>Establishing standards for filing and storage equipm</w:t>
      </w:r>
      <w:r w:rsidR="00A615C7">
        <w:t xml:space="preserve">ent and recordkeeping supplies. </w:t>
      </w:r>
    </w:p>
    <w:p w:rsidR="00A615C7" w:rsidRDefault="005D6022" w:rsidP="00A615C7">
      <w:pPr>
        <w:pStyle w:val="ListParagraph"/>
        <w:numPr>
          <w:ilvl w:val="0"/>
          <w:numId w:val="20"/>
        </w:numPr>
      </w:pPr>
      <w:r>
        <w:t>In cooperation with department heads, identifying essential records and establishing a disaster plan for each office and department to ensure maximum availability of HRB’s records in order to re-establish operations quickly and with mi</w:t>
      </w:r>
      <w:r w:rsidR="00A615C7">
        <w:t xml:space="preserve">nimal interruption and expense. </w:t>
      </w:r>
    </w:p>
    <w:p w:rsidR="00A615C7" w:rsidRDefault="005D6022" w:rsidP="00A615C7">
      <w:pPr>
        <w:pStyle w:val="ListParagraph"/>
        <w:numPr>
          <w:ilvl w:val="0"/>
          <w:numId w:val="20"/>
        </w:numPr>
      </w:pPr>
      <w:r>
        <w:t>Determining the practicability of and, if appropriate, establishing a uniform filing system and a form</w:t>
      </w:r>
      <w:r w:rsidR="00A615C7">
        <w:t xml:space="preserve">s design and control system. </w:t>
      </w:r>
    </w:p>
    <w:p w:rsidR="00A615C7" w:rsidRDefault="005D6022" w:rsidP="00A615C7">
      <w:pPr>
        <w:pStyle w:val="ListParagraph"/>
        <w:numPr>
          <w:ilvl w:val="0"/>
          <w:numId w:val="20"/>
        </w:numPr>
      </w:pPr>
      <w:r>
        <w:t>In conjunction with the Legal Department, periodically reviewing the records retention schedules and legislation to determine if HRB’s document management program and its Records Retention Schedule is in compliance with leg</w:t>
      </w:r>
      <w:r w:rsidR="00A615C7">
        <w:t xml:space="preserve">islation. </w:t>
      </w:r>
    </w:p>
    <w:p w:rsidR="00A615C7" w:rsidRDefault="005D6022" w:rsidP="00A615C7">
      <w:pPr>
        <w:pStyle w:val="ListParagraph"/>
        <w:numPr>
          <w:ilvl w:val="0"/>
          <w:numId w:val="20"/>
        </w:numPr>
      </w:pPr>
      <w:r>
        <w:t>In conjunction with the Legal Department, informing the various department heads of any laws and administrative rules</w:t>
      </w:r>
      <w:r w:rsidR="00A615C7">
        <w:t xml:space="preserve"> relating to corporate records. </w:t>
      </w:r>
    </w:p>
    <w:p w:rsidR="00A615C7" w:rsidRDefault="005D6022" w:rsidP="00A615C7">
      <w:pPr>
        <w:pStyle w:val="ListParagraph"/>
        <w:numPr>
          <w:ilvl w:val="0"/>
          <w:numId w:val="20"/>
        </w:numPr>
      </w:pPr>
      <w:r>
        <w:t>In conjunction with the HR Department explaining to employees their duties relating to th</w:t>
      </w:r>
      <w:r w:rsidR="00A615C7">
        <w:t xml:space="preserve">e document management program. </w:t>
      </w:r>
    </w:p>
    <w:p w:rsidR="00A615C7" w:rsidRDefault="005D6022" w:rsidP="00A615C7">
      <w:pPr>
        <w:pStyle w:val="ListParagraph"/>
        <w:numPr>
          <w:ilvl w:val="0"/>
          <w:numId w:val="20"/>
        </w:numPr>
      </w:pPr>
      <w:r>
        <w:t>Ensuring that the maintenance, preservation, microfilming, computer disk storage, destruction or other disposition of HRB’s records is carried out in accordance with this policy, the procedures of the document management prog</w:t>
      </w:r>
      <w:r w:rsidR="00A615C7">
        <w:t xml:space="preserve">ram and our legal requirements. </w:t>
      </w:r>
    </w:p>
    <w:p w:rsidR="00A615C7" w:rsidRDefault="005D6022" w:rsidP="00A615C7">
      <w:pPr>
        <w:pStyle w:val="ListParagraph"/>
        <w:numPr>
          <w:ilvl w:val="0"/>
          <w:numId w:val="20"/>
        </w:numPr>
      </w:pPr>
      <w:r>
        <w:t>Planning the timetable for the annual records destruction exercise and the annual records audit, including setting deadlines for res</w:t>
      </w:r>
      <w:r w:rsidR="00A615C7">
        <w:t xml:space="preserve">ponses from departmental staff. </w:t>
      </w:r>
    </w:p>
    <w:p w:rsidR="00A615C7" w:rsidRDefault="005D6022" w:rsidP="00A615C7">
      <w:pPr>
        <w:pStyle w:val="ListParagraph"/>
        <w:numPr>
          <w:ilvl w:val="0"/>
          <w:numId w:val="20"/>
        </w:numPr>
      </w:pPr>
      <w:r>
        <w:t>Evaluating the overall effectiveness of the docu</w:t>
      </w:r>
      <w:r w:rsidR="00A615C7">
        <w:t xml:space="preserve">ment management program. </w:t>
      </w:r>
    </w:p>
    <w:p w:rsidR="005D6022" w:rsidRDefault="005D6022" w:rsidP="00A615C7">
      <w:pPr>
        <w:pStyle w:val="ListParagraph"/>
        <w:numPr>
          <w:ilvl w:val="0"/>
          <w:numId w:val="20"/>
        </w:numPr>
      </w:pPr>
      <w:r>
        <w:t>Reporting annually to the Legal Department on the implementation of the document management program in each of [Insert client name]’s departments.</w:t>
      </w:r>
    </w:p>
    <w:p w:rsidR="00A615C7" w:rsidRDefault="00A615C7" w:rsidP="005D6022"/>
    <w:p w:rsidR="005D6022" w:rsidRDefault="005D6022" w:rsidP="00A615C7">
      <w:pPr>
        <w:pStyle w:val="Heading1"/>
      </w:pPr>
      <w:bookmarkStart w:id="11" w:name="_Toc514426056"/>
      <w:r>
        <w:lastRenderedPageBreak/>
        <w:t>How to Store and Destroy Records</w:t>
      </w:r>
      <w:bookmarkEnd w:id="11"/>
    </w:p>
    <w:p w:rsidR="00A615C7" w:rsidRDefault="00A615C7" w:rsidP="005D6022"/>
    <w:p w:rsidR="005D6022" w:rsidRDefault="005D6022" w:rsidP="00A615C7">
      <w:pPr>
        <w:pStyle w:val="Heading2"/>
      </w:pPr>
      <w:bookmarkStart w:id="12" w:name="_Toc514426057"/>
      <w:r>
        <w:t>Storage</w:t>
      </w:r>
      <w:bookmarkEnd w:id="12"/>
    </w:p>
    <w:p w:rsidR="00A615C7" w:rsidRDefault="00A615C7" w:rsidP="005D6022"/>
    <w:p w:rsidR="005D6022" w:rsidRDefault="005D6022" w:rsidP="005D6022">
      <w:r>
        <w:t xml:space="preserve">HRB’s records must be stored in a safe, secure and accessible manner. Any documents and financial files that are essential to our organisation’s operations during an emergency must be duplicated and/or backed up at least once per week and maintained off site. </w:t>
      </w:r>
    </w:p>
    <w:p w:rsidR="00A615C7" w:rsidRDefault="00A615C7" w:rsidP="005D6022"/>
    <w:p w:rsidR="005D6022" w:rsidRDefault="005D6022" w:rsidP="00A615C7">
      <w:pPr>
        <w:pStyle w:val="Heading2"/>
      </w:pPr>
      <w:bookmarkStart w:id="13" w:name="_Toc514426058"/>
      <w:r>
        <w:t>Destruction</w:t>
      </w:r>
      <w:bookmarkEnd w:id="13"/>
    </w:p>
    <w:p w:rsidR="00A615C7" w:rsidRDefault="00A615C7" w:rsidP="005D6022"/>
    <w:p w:rsidR="005D6022" w:rsidRDefault="005D6022" w:rsidP="005D6022">
      <w:r>
        <w:t xml:space="preserve">HRB Facilities and/or ICT </w:t>
      </w:r>
      <w:r w:rsidR="00697747">
        <w:t>are responsible</w:t>
      </w:r>
      <w:r>
        <w:t xml:space="preserve"> for the continuing process of identifying the records that have met their required retention period and supervising their destruction. The destruction of personal data, confidential, financial and personnel-related paper records must be conducted by shredding. The destruction of electronic records must be coordinated with the ICT Department.</w:t>
      </w:r>
    </w:p>
    <w:p w:rsidR="00A615C7" w:rsidRDefault="005D6022" w:rsidP="005D6022">
      <w:r>
        <w:t>The destruction of records must stop immediately upon notification from the Legal Department that a litigation hold is to begin because HRB may be involved in a litigation or an official investigation. Destruction may begin again once the Legal Department lift</w:t>
      </w:r>
      <w:r w:rsidR="00A615C7">
        <w:t xml:space="preserve">s the relevant litigation hold. </w:t>
      </w:r>
    </w:p>
    <w:p w:rsidR="00A615C7" w:rsidRDefault="00A615C7" w:rsidP="005D6022"/>
    <w:p w:rsidR="005D6022" w:rsidRDefault="00A615C7" w:rsidP="00A615C7">
      <w:pPr>
        <w:pStyle w:val="Heading1"/>
      </w:pPr>
      <w:bookmarkStart w:id="14" w:name="_Toc514426059"/>
      <w:r>
        <w:t>Questions a</w:t>
      </w:r>
      <w:r w:rsidR="005D6022">
        <w:t>bout the Policy</w:t>
      </w:r>
      <w:bookmarkEnd w:id="14"/>
    </w:p>
    <w:p w:rsidR="00A615C7" w:rsidRDefault="00A615C7" w:rsidP="005D6022"/>
    <w:p w:rsidR="005D6022" w:rsidRDefault="005D6022" w:rsidP="005D6022">
      <w:r>
        <w:t>Any questions about this policy should be referred to the Data Protection Officer who is in charge of administering, enforcing and updating this policy.</w:t>
      </w:r>
    </w:p>
    <w:p w:rsidR="005D6022" w:rsidRDefault="005D6022" w:rsidP="005D6022"/>
    <w:p w:rsidR="00BB54A6" w:rsidRDefault="00BB54A6">
      <w:pPr>
        <w:spacing w:line="240" w:lineRule="auto"/>
        <w:rPr>
          <w:rFonts w:asciiTheme="majorHAnsi" w:eastAsiaTheme="majorEastAsia" w:hAnsiTheme="majorHAnsi" w:cstheme="majorBidi"/>
          <w:b/>
          <w:bCs/>
          <w:color w:val="365F91" w:themeColor="accent1" w:themeShade="BF"/>
          <w:sz w:val="30"/>
          <w:szCs w:val="28"/>
        </w:rPr>
      </w:pPr>
      <w:r>
        <w:br w:type="page"/>
      </w:r>
    </w:p>
    <w:p w:rsidR="005D6022" w:rsidRDefault="005D6022" w:rsidP="00A615C7">
      <w:pPr>
        <w:pStyle w:val="Heading1"/>
      </w:pPr>
      <w:bookmarkStart w:id="15" w:name="_Toc514426060"/>
      <w:r>
        <w:lastRenderedPageBreak/>
        <w:t>Appendix</w:t>
      </w:r>
      <w:bookmarkEnd w:id="15"/>
    </w:p>
    <w:p w:rsidR="00A615C7" w:rsidRDefault="00A615C7" w:rsidP="005D6022"/>
    <w:p w:rsidR="005D6022" w:rsidRDefault="005D6022" w:rsidP="00BB54A6">
      <w:pPr>
        <w:pStyle w:val="Heading2"/>
      </w:pPr>
      <w:bookmarkStart w:id="16" w:name="_Toc514426061"/>
      <w:r>
        <w:t>Record Retention Schedule</w:t>
      </w:r>
      <w:bookmarkEnd w:id="16"/>
    </w:p>
    <w:p w:rsidR="00A615C7" w:rsidRDefault="00A615C7" w:rsidP="005D6022"/>
    <w:p w:rsidR="005D6022" w:rsidRDefault="005D6022" w:rsidP="005D6022">
      <w:r>
        <w:t>In this policy HRB establishes retention or destruction schedules or procedures for specific categories of records. This is done to ensure legal compliance and accomplish other objectives, such as protecting intellectual property and controlling costs. Employees should give special consideration to the categories of documents listed in the record retention schedule below. Avoid retaining a record if there is no legitimate reason for doing so, and consult with the Data Protection Officer or Legal Department if unsure.</w:t>
      </w:r>
    </w:p>
    <w:p w:rsidR="005D6022" w:rsidRDefault="005D6022" w:rsidP="005D6022"/>
    <w:p w:rsidR="005D6022" w:rsidRDefault="005D6022" w:rsidP="00BB54A6">
      <w:pPr>
        <w:pStyle w:val="Heading3"/>
      </w:pPr>
      <w:bookmarkStart w:id="17" w:name="_Toc514426062"/>
      <w:r>
        <w:t>Personnel Records</w:t>
      </w:r>
      <w:bookmarkEnd w:id="17"/>
    </w:p>
    <w:p w:rsidR="00BB54A6" w:rsidRDefault="00BB54A6" w:rsidP="005D6022"/>
    <w:tbl>
      <w:tblPr>
        <w:tblStyle w:val="TableGrid"/>
        <w:tblW w:w="9209" w:type="dxa"/>
        <w:tblLook w:val="04A0" w:firstRow="1" w:lastRow="0" w:firstColumn="1" w:lastColumn="0" w:noHBand="0" w:noVBand="1"/>
      </w:tblPr>
      <w:tblGrid>
        <w:gridCol w:w="3103"/>
        <w:gridCol w:w="2823"/>
        <w:gridCol w:w="1721"/>
        <w:gridCol w:w="1562"/>
      </w:tblGrid>
      <w:tr w:rsidR="00BB54A6" w:rsidRPr="00BB54A6" w:rsidTr="00697747">
        <w:tc>
          <w:tcPr>
            <w:tcW w:w="3114" w:type="dxa"/>
            <w:shd w:val="clear" w:color="auto" w:fill="DBE5F1" w:themeFill="accent1" w:themeFillTint="33"/>
          </w:tcPr>
          <w:p w:rsidR="00BB54A6" w:rsidRPr="00BB54A6" w:rsidRDefault="00BB54A6" w:rsidP="002F4E0C">
            <w:pPr>
              <w:pStyle w:val="Heading4"/>
              <w:rPr>
                <w:rFonts w:eastAsia="Times New Roman"/>
              </w:rPr>
            </w:pPr>
            <w:r w:rsidRPr="00BB54A6">
              <w:rPr>
                <w:rFonts w:eastAsia="Times New Roman"/>
              </w:rPr>
              <w:t>Record</w:t>
            </w:r>
          </w:p>
        </w:tc>
        <w:tc>
          <w:tcPr>
            <w:tcW w:w="2835" w:type="dxa"/>
            <w:shd w:val="clear" w:color="auto" w:fill="DBE5F1" w:themeFill="accent1" w:themeFillTint="33"/>
          </w:tcPr>
          <w:p w:rsidR="00BB54A6" w:rsidRPr="00BB54A6" w:rsidRDefault="00BB54A6" w:rsidP="002F4E0C">
            <w:pPr>
              <w:pStyle w:val="Heading4"/>
              <w:rPr>
                <w:rFonts w:eastAsia="Times New Roman"/>
              </w:rPr>
            </w:pPr>
            <w:r w:rsidRPr="00BB54A6">
              <w:rPr>
                <w:rFonts w:eastAsia="Times New Roman"/>
              </w:rPr>
              <w:t>Retention Period</w:t>
            </w:r>
          </w:p>
        </w:tc>
        <w:tc>
          <w:tcPr>
            <w:tcW w:w="1701" w:type="dxa"/>
            <w:shd w:val="clear" w:color="auto" w:fill="DBE5F1" w:themeFill="accent1" w:themeFillTint="33"/>
          </w:tcPr>
          <w:p w:rsidR="00BB54A6" w:rsidRPr="00BB54A6" w:rsidRDefault="00BB54A6" w:rsidP="002F4E0C">
            <w:pPr>
              <w:pStyle w:val="Heading4"/>
              <w:rPr>
                <w:rFonts w:eastAsia="Times New Roman"/>
              </w:rPr>
            </w:pPr>
            <w:r w:rsidRPr="00BB54A6">
              <w:rPr>
                <w:rFonts w:eastAsia="Times New Roman"/>
              </w:rPr>
              <w:t>Justification for time frame</w:t>
            </w:r>
          </w:p>
        </w:tc>
        <w:tc>
          <w:tcPr>
            <w:tcW w:w="1559" w:type="dxa"/>
            <w:shd w:val="clear" w:color="auto" w:fill="DBE5F1" w:themeFill="accent1" w:themeFillTint="33"/>
          </w:tcPr>
          <w:p w:rsidR="00BB54A6" w:rsidRPr="00BB54A6" w:rsidRDefault="00BB54A6" w:rsidP="002F4E0C">
            <w:pPr>
              <w:pStyle w:val="Heading4"/>
              <w:rPr>
                <w:rFonts w:eastAsia="Times New Roman"/>
              </w:rPr>
            </w:pPr>
            <w:r w:rsidRPr="00BB54A6">
              <w:rPr>
                <w:rFonts w:eastAsia="Times New Roman"/>
              </w:rPr>
              <w:t xml:space="preserve">Legal basis for processing </w:t>
            </w:r>
          </w:p>
        </w:tc>
      </w:tr>
      <w:tr w:rsidR="00BB54A6" w:rsidRPr="00BB54A6" w:rsidTr="00697747">
        <w:tc>
          <w:tcPr>
            <w:tcW w:w="3114" w:type="dxa"/>
          </w:tcPr>
          <w:p w:rsidR="00BB54A6" w:rsidRPr="00BB54A6" w:rsidRDefault="00BB54A6" w:rsidP="00BB54A6">
            <w:r w:rsidRPr="00BB54A6">
              <w:t>Benefits descriptions per employee</w:t>
            </w:r>
          </w:p>
        </w:tc>
        <w:tc>
          <w:tcPr>
            <w:tcW w:w="2835" w:type="dxa"/>
          </w:tcPr>
          <w:p w:rsidR="00BB54A6" w:rsidRPr="00BB54A6" w:rsidRDefault="00BB54A6" w:rsidP="00BB54A6">
            <w:r w:rsidRPr="00BB54A6">
              <w:t>Permanent</w:t>
            </w:r>
          </w:p>
        </w:tc>
        <w:tc>
          <w:tcPr>
            <w:tcW w:w="1701" w:type="dxa"/>
          </w:tcPr>
          <w:p w:rsidR="00BB54A6" w:rsidRPr="00BB54A6" w:rsidRDefault="00BB54A6" w:rsidP="00BB54A6">
            <w:pPr>
              <w:rPr>
                <w:highlight w:val="yellow"/>
              </w:rPr>
            </w:pPr>
            <w:r w:rsidRPr="00BB54A6">
              <w:t>Irish employment law and for pension calculation and record keeping</w:t>
            </w:r>
          </w:p>
        </w:tc>
        <w:tc>
          <w:tcPr>
            <w:tcW w:w="1559" w:type="dxa"/>
          </w:tcPr>
          <w:p w:rsidR="00BB54A6" w:rsidRPr="00BB54A6" w:rsidRDefault="00BB54A6" w:rsidP="00BB54A6">
            <w:pPr>
              <w:rPr>
                <w:highlight w:val="yellow"/>
              </w:rPr>
            </w:pPr>
          </w:p>
        </w:tc>
      </w:tr>
      <w:tr w:rsidR="00BB54A6" w:rsidRPr="00BB54A6" w:rsidTr="00697747">
        <w:tc>
          <w:tcPr>
            <w:tcW w:w="3114" w:type="dxa"/>
          </w:tcPr>
          <w:p w:rsidR="00BB54A6" w:rsidRPr="00BB54A6" w:rsidRDefault="00BB54A6" w:rsidP="00BB54A6">
            <w:r w:rsidRPr="00BB54A6">
              <w:t>Donor records and acknowledgement letters</w:t>
            </w:r>
          </w:p>
        </w:tc>
        <w:tc>
          <w:tcPr>
            <w:tcW w:w="2835" w:type="dxa"/>
          </w:tcPr>
          <w:p w:rsidR="00BB54A6" w:rsidRPr="00BB54A6" w:rsidRDefault="00BB54A6" w:rsidP="00BB54A6">
            <w:r w:rsidRPr="00BB54A6">
              <w:t>7 years</w:t>
            </w:r>
          </w:p>
        </w:tc>
        <w:tc>
          <w:tcPr>
            <w:tcW w:w="1701" w:type="dxa"/>
          </w:tcPr>
          <w:p w:rsidR="00BB54A6" w:rsidRPr="00BB54A6" w:rsidRDefault="00BB54A6" w:rsidP="00BB54A6">
            <w:pPr>
              <w:rPr>
                <w:highlight w:val="yellow"/>
              </w:rPr>
            </w:pPr>
            <w:r w:rsidRPr="00BB54A6">
              <w:t>Irish employment law</w:t>
            </w:r>
          </w:p>
        </w:tc>
        <w:tc>
          <w:tcPr>
            <w:tcW w:w="1559" w:type="dxa"/>
          </w:tcPr>
          <w:p w:rsidR="00BB54A6" w:rsidRPr="00BB54A6" w:rsidRDefault="00BB54A6" w:rsidP="00BB54A6">
            <w:pPr>
              <w:rPr>
                <w:highlight w:val="yellow"/>
              </w:rPr>
            </w:pPr>
          </w:p>
        </w:tc>
      </w:tr>
      <w:tr w:rsidR="00BB54A6" w:rsidRPr="00BB54A6" w:rsidTr="00697747">
        <w:tc>
          <w:tcPr>
            <w:tcW w:w="3114" w:type="dxa"/>
          </w:tcPr>
          <w:p w:rsidR="00BB54A6" w:rsidRPr="00BB54A6" w:rsidRDefault="00BB54A6" w:rsidP="00BB54A6">
            <w:r w:rsidRPr="00BB54A6">
              <w:t>Employee applications and resumes</w:t>
            </w:r>
          </w:p>
        </w:tc>
        <w:tc>
          <w:tcPr>
            <w:tcW w:w="2835" w:type="dxa"/>
          </w:tcPr>
          <w:p w:rsidR="00BB54A6" w:rsidRPr="00BB54A6" w:rsidRDefault="00BB54A6" w:rsidP="00BB54A6">
            <w:r w:rsidRPr="00BB54A6">
              <w:t>6 years or where successful, for the duration of the employment plus 7 years from the date of termination of employment</w:t>
            </w:r>
          </w:p>
        </w:tc>
        <w:tc>
          <w:tcPr>
            <w:tcW w:w="1701" w:type="dxa"/>
          </w:tcPr>
          <w:p w:rsidR="00BB54A6" w:rsidRPr="00BB54A6" w:rsidRDefault="00BB54A6" w:rsidP="00BB54A6">
            <w:pPr>
              <w:rPr>
                <w:highlight w:val="yellow"/>
              </w:rPr>
            </w:pPr>
            <w:r w:rsidRPr="00BB54A6">
              <w:t>Section 11 of The Statute of Limitations Act 1957</w:t>
            </w:r>
          </w:p>
        </w:tc>
        <w:tc>
          <w:tcPr>
            <w:tcW w:w="1559" w:type="dxa"/>
          </w:tcPr>
          <w:p w:rsidR="00BB54A6" w:rsidRPr="00BB54A6" w:rsidRDefault="00BB54A6" w:rsidP="00BB54A6">
            <w:pPr>
              <w:rPr>
                <w:highlight w:val="yellow"/>
              </w:rPr>
            </w:pPr>
          </w:p>
        </w:tc>
      </w:tr>
      <w:tr w:rsidR="00BB54A6" w:rsidRPr="00BB54A6" w:rsidTr="00697747">
        <w:tc>
          <w:tcPr>
            <w:tcW w:w="3114" w:type="dxa"/>
          </w:tcPr>
          <w:p w:rsidR="00BB54A6" w:rsidRPr="00BB54A6" w:rsidRDefault="00BB54A6" w:rsidP="00BB54A6">
            <w:r w:rsidRPr="00BB54A6">
              <w:t xml:space="preserve">Employee benefit plans </w:t>
            </w:r>
          </w:p>
        </w:tc>
        <w:tc>
          <w:tcPr>
            <w:tcW w:w="2835" w:type="dxa"/>
          </w:tcPr>
          <w:p w:rsidR="00BB54A6" w:rsidRPr="00BB54A6" w:rsidRDefault="00BB54A6" w:rsidP="00BB54A6">
            <w:r w:rsidRPr="00BB54A6">
              <w:t xml:space="preserve">6 years from when the record was required to be disclosed save pension detail requirements </w:t>
            </w:r>
          </w:p>
        </w:tc>
        <w:tc>
          <w:tcPr>
            <w:tcW w:w="1701" w:type="dxa"/>
          </w:tcPr>
          <w:p w:rsidR="00BB54A6" w:rsidRPr="00BB54A6" w:rsidRDefault="00BB54A6" w:rsidP="00BB54A6">
            <w:r w:rsidRPr="00BB54A6">
              <w:t>Benefit of the employee</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lastRenderedPageBreak/>
              <w:t>Employee offer letters (and other documentation regarding hiring, promotion, demotion, transfer, termination or selection for training)</w:t>
            </w:r>
          </w:p>
        </w:tc>
        <w:tc>
          <w:tcPr>
            <w:tcW w:w="2835" w:type="dxa"/>
          </w:tcPr>
          <w:p w:rsidR="00BB54A6" w:rsidRPr="00BB54A6" w:rsidRDefault="00BB54A6" w:rsidP="00BB54A6">
            <w:r w:rsidRPr="00BB54A6">
              <w:t>6 years from date of making record or action involved, whichever is later, or 1 year from date of involuntary termination</w:t>
            </w:r>
          </w:p>
        </w:tc>
        <w:tc>
          <w:tcPr>
            <w:tcW w:w="1701" w:type="dxa"/>
          </w:tcPr>
          <w:p w:rsidR="00BB54A6" w:rsidRPr="00BB54A6" w:rsidRDefault="00BB54A6" w:rsidP="00BB54A6">
            <w:r w:rsidRPr="00BB54A6">
              <w:t>Benefit of the employee</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t>Records relating to background checks on employees</w:t>
            </w:r>
          </w:p>
        </w:tc>
        <w:tc>
          <w:tcPr>
            <w:tcW w:w="2835" w:type="dxa"/>
          </w:tcPr>
          <w:p w:rsidR="00BB54A6" w:rsidRPr="00BB54A6" w:rsidRDefault="00BB54A6" w:rsidP="00BB54A6">
            <w:r w:rsidRPr="00BB54A6">
              <w:t>6 years from when the background check is conducted</w:t>
            </w:r>
          </w:p>
        </w:tc>
        <w:tc>
          <w:tcPr>
            <w:tcW w:w="1701" w:type="dxa"/>
          </w:tcPr>
          <w:p w:rsidR="00BB54A6" w:rsidRPr="00BB54A6" w:rsidRDefault="00BB54A6" w:rsidP="00BB54A6"/>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t>Employment contracts; employment and termination agreements</w:t>
            </w:r>
          </w:p>
        </w:tc>
        <w:tc>
          <w:tcPr>
            <w:tcW w:w="2835" w:type="dxa"/>
          </w:tcPr>
          <w:p w:rsidR="00BB54A6" w:rsidRPr="00BB54A6" w:rsidRDefault="00BB54A6" w:rsidP="00BB54A6">
            <w:r w:rsidRPr="00BB54A6">
              <w:t>7 years from the date of expiry of the contract or agreement</w:t>
            </w:r>
          </w:p>
        </w:tc>
        <w:tc>
          <w:tcPr>
            <w:tcW w:w="1701" w:type="dxa"/>
          </w:tcPr>
          <w:p w:rsidR="00BB54A6" w:rsidRPr="00BB54A6" w:rsidRDefault="00BB54A6" w:rsidP="00BB54A6">
            <w:r w:rsidRPr="00BB54A6">
              <w:t>Benefit of the employee</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t>Employee records with information on pay rate or weekly compensation</w:t>
            </w:r>
          </w:p>
        </w:tc>
        <w:tc>
          <w:tcPr>
            <w:tcW w:w="2835" w:type="dxa"/>
          </w:tcPr>
          <w:p w:rsidR="00BB54A6" w:rsidRPr="00BB54A6" w:rsidRDefault="00BB54A6" w:rsidP="00BB54A6">
            <w:r w:rsidRPr="00BB54A6">
              <w:t>3 years</w:t>
            </w:r>
          </w:p>
        </w:tc>
        <w:tc>
          <w:tcPr>
            <w:tcW w:w="1701" w:type="dxa"/>
          </w:tcPr>
          <w:p w:rsidR="00BB54A6" w:rsidRPr="00BB54A6" w:rsidRDefault="00BB54A6" w:rsidP="00BB54A6">
            <w:r w:rsidRPr="00BB54A6">
              <w:t>Benefit of the employee</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t>Tax forms</w:t>
            </w:r>
          </w:p>
        </w:tc>
        <w:tc>
          <w:tcPr>
            <w:tcW w:w="2835" w:type="dxa"/>
          </w:tcPr>
          <w:p w:rsidR="00BB54A6" w:rsidRPr="00BB54A6" w:rsidRDefault="00BB54A6" w:rsidP="00BB54A6">
            <w:r w:rsidRPr="00BB54A6">
              <w:t xml:space="preserve">6 years after date of hire </w:t>
            </w:r>
          </w:p>
        </w:tc>
        <w:tc>
          <w:tcPr>
            <w:tcW w:w="1701" w:type="dxa"/>
          </w:tcPr>
          <w:p w:rsidR="00BB54A6" w:rsidRPr="00BB54A6" w:rsidRDefault="00BB54A6" w:rsidP="00BB54A6">
            <w:r w:rsidRPr="00BB54A6">
              <w:t>Revenue obligation</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t xml:space="preserve">Injury and Illness Incident Reports and related Annual Summaries; Logs of work-related injuries and illnesses </w:t>
            </w:r>
          </w:p>
        </w:tc>
        <w:tc>
          <w:tcPr>
            <w:tcW w:w="2835" w:type="dxa"/>
          </w:tcPr>
          <w:p w:rsidR="00BB54A6" w:rsidRPr="00BB54A6" w:rsidRDefault="00BB54A6" w:rsidP="00BB54A6">
            <w:r w:rsidRPr="00BB54A6">
              <w:t>6 years following the end of the calendar year that these records cover</w:t>
            </w:r>
          </w:p>
        </w:tc>
        <w:tc>
          <w:tcPr>
            <w:tcW w:w="1701" w:type="dxa"/>
          </w:tcPr>
          <w:p w:rsidR="00BB54A6" w:rsidRPr="00BB54A6" w:rsidRDefault="00BB54A6" w:rsidP="00BB54A6">
            <w:r w:rsidRPr="00BB54A6">
              <w:t>Statute of Limitations</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t xml:space="preserve">Supplemental record for each occupational injury or illness; Log and Summary of Occupational Injuries and Illnesses </w:t>
            </w:r>
          </w:p>
        </w:tc>
        <w:tc>
          <w:tcPr>
            <w:tcW w:w="2835" w:type="dxa"/>
          </w:tcPr>
          <w:p w:rsidR="00BB54A6" w:rsidRPr="00BB54A6" w:rsidRDefault="00BB54A6" w:rsidP="00BB54A6">
            <w:r w:rsidRPr="00BB54A6">
              <w:t>6 years following the year to which they relate</w:t>
            </w:r>
          </w:p>
        </w:tc>
        <w:tc>
          <w:tcPr>
            <w:tcW w:w="1701" w:type="dxa"/>
          </w:tcPr>
          <w:p w:rsidR="00BB54A6" w:rsidRPr="00BB54A6" w:rsidRDefault="00BB54A6" w:rsidP="00BB54A6">
            <w:r w:rsidRPr="00BB54A6">
              <w:t>Statute of Limitations</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t>Job descriptions, performance goals and reviews; garnishment records</w:t>
            </w:r>
          </w:p>
        </w:tc>
        <w:tc>
          <w:tcPr>
            <w:tcW w:w="2835" w:type="dxa"/>
          </w:tcPr>
          <w:p w:rsidR="00BB54A6" w:rsidRPr="00BB54A6" w:rsidRDefault="00BB54A6" w:rsidP="00BB54A6">
            <w:r w:rsidRPr="00BB54A6">
              <w:t>For the duration of the employment plus 7 years from the date of termination of employment</w:t>
            </w:r>
          </w:p>
        </w:tc>
        <w:tc>
          <w:tcPr>
            <w:tcW w:w="1701" w:type="dxa"/>
          </w:tcPr>
          <w:p w:rsidR="00BB54A6" w:rsidRPr="00BB54A6" w:rsidRDefault="00BB54A6" w:rsidP="00BB54A6">
            <w:r w:rsidRPr="00BB54A6">
              <w:t>Benefit of employee</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t>Employee tax records</w:t>
            </w:r>
          </w:p>
        </w:tc>
        <w:tc>
          <w:tcPr>
            <w:tcW w:w="2835" w:type="dxa"/>
          </w:tcPr>
          <w:p w:rsidR="00BB54A6" w:rsidRPr="00BB54A6" w:rsidRDefault="00BB54A6" w:rsidP="00BB54A6">
            <w:r w:rsidRPr="00BB54A6">
              <w:t>6 years from the date tax is due or paid</w:t>
            </w:r>
          </w:p>
        </w:tc>
        <w:tc>
          <w:tcPr>
            <w:tcW w:w="1701" w:type="dxa"/>
          </w:tcPr>
          <w:p w:rsidR="00BB54A6" w:rsidRPr="00BB54A6" w:rsidRDefault="00BB54A6" w:rsidP="00BB54A6">
            <w:r w:rsidRPr="00BB54A6">
              <w:t xml:space="preserve">Revenue </w:t>
            </w:r>
            <w:r w:rsidR="00697747" w:rsidRPr="00BB54A6">
              <w:t>obligations</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t>Medical exams required by law</w:t>
            </w:r>
          </w:p>
        </w:tc>
        <w:tc>
          <w:tcPr>
            <w:tcW w:w="2835" w:type="dxa"/>
          </w:tcPr>
          <w:p w:rsidR="00BB54A6" w:rsidRPr="00BB54A6" w:rsidRDefault="00BB54A6" w:rsidP="00BB54A6">
            <w:r w:rsidRPr="00BB54A6">
              <w:t>Duration of employment + 30 years</w:t>
            </w:r>
          </w:p>
        </w:tc>
        <w:tc>
          <w:tcPr>
            <w:tcW w:w="1701" w:type="dxa"/>
          </w:tcPr>
          <w:p w:rsidR="00BB54A6" w:rsidRPr="00BB54A6" w:rsidRDefault="00BB54A6" w:rsidP="00BB54A6">
            <w:r w:rsidRPr="00BB54A6">
              <w:t>Benefit of employee</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t xml:space="preserve">Personnel or employment </w:t>
            </w:r>
            <w:r w:rsidRPr="00BB54A6">
              <w:lastRenderedPageBreak/>
              <w:t xml:space="preserve">records </w:t>
            </w:r>
          </w:p>
        </w:tc>
        <w:tc>
          <w:tcPr>
            <w:tcW w:w="2835" w:type="dxa"/>
          </w:tcPr>
          <w:p w:rsidR="00BB54A6" w:rsidRPr="00BB54A6" w:rsidRDefault="00BB54A6" w:rsidP="00BB54A6">
            <w:r w:rsidRPr="00BB54A6">
              <w:lastRenderedPageBreak/>
              <w:t xml:space="preserve">6 years from the date the </w:t>
            </w:r>
            <w:r w:rsidRPr="00BB54A6">
              <w:lastRenderedPageBreak/>
              <w:t xml:space="preserve">record was made </w:t>
            </w:r>
          </w:p>
        </w:tc>
        <w:tc>
          <w:tcPr>
            <w:tcW w:w="1701" w:type="dxa"/>
          </w:tcPr>
          <w:p w:rsidR="00BB54A6" w:rsidRPr="00BB54A6" w:rsidRDefault="00BB54A6" w:rsidP="00BB54A6">
            <w:r w:rsidRPr="00BB54A6">
              <w:lastRenderedPageBreak/>
              <w:t xml:space="preserve">Benefit of </w:t>
            </w:r>
            <w:r w:rsidRPr="00BB54A6">
              <w:lastRenderedPageBreak/>
              <w:t>employee</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lastRenderedPageBreak/>
              <w:t>Pension plan and retirement records</w:t>
            </w:r>
          </w:p>
        </w:tc>
        <w:tc>
          <w:tcPr>
            <w:tcW w:w="2835" w:type="dxa"/>
          </w:tcPr>
          <w:p w:rsidR="00BB54A6" w:rsidRPr="00BB54A6" w:rsidRDefault="00BB54A6" w:rsidP="00BB54A6">
            <w:r w:rsidRPr="00BB54A6">
              <w:t>Permanent</w:t>
            </w:r>
          </w:p>
        </w:tc>
        <w:tc>
          <w:tcPr>
            <w:tcW w:w="1701" w:type="dxa"/>
          </w:tcPr>
          <w:p w:rsidR="00BB54A6" w:rsidRPr="00BB54A6" w:rsidRDefault="00BB54A6" w:rsidP="00BB54A6">
            <w:r w:rsidRPr="00BB54A6">
              <w:t>Benefit of employee</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t>Pre-employment tests and test results</w:t>
            </w:r>
          </w:p>
        </w:tc>
        <w:tc>
          <w:tcPr>
            <w:tcW w:w="2835" w:type="dxa"/>
          </w:tcPr>
          <w:p w:rsidR="00BB54A6" w:rsidRPr="00BB54A6" w:rsidRDefault="00BB54A6" w:rsidP="00BB54A6">
            <w:r w:rsidRPr="00BB54A6">
              <w:t>2 years from date of termination</w:t>
            </w:r>
          </w:p>
        </w:tc>
        <w:tc>
          <w:tcPr>
            <w:tcW w:w="1701" w:type="dxa"/>
          </w:tcPr>
          <w:p w:rsidR="00BB54A6" w:rsidRPr="00BB54A6" w:rsidRDefault="00BB54A6" w:rsidP="00BB54A6">
            <w:r w:rsidRPr="00BB54A6">
              <w:t>Benefit of employee</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t>Salary schedules; ranges for each job description</w:t>
            </w:r>
          </w:p>
        </w:tc>
        <w:tc>
          <w:tcPr>
            <w:tcW w:w="2835" w:type="dxa"/>
          </w:tcPr>
          <w:p w:rsidR="00BB54A6" w:rsidRPr="00BB54A6" w:rsidRDefault="00BB54A6" w:rsidP="00BB54A6">
            <w:r w:rsidRPr="00BB54A6">
              <w:t>2 years</w:t>
            </w:r>
          </w:p>
        </w:tc>
        <w:tc>
          <w:tcPr>
            <w:tcW w:w="1701" w:type="dxa"/>
          </w:tcPr>
          <w:p w:rsidR="00BB54A6" w:rsidRPr="00BB54A6" w:rsidRDefault="00BB54A6" w:rsidP="00BB54A6">
            <w:r w:rsidRPr="00BB54A6">
              <w:t>Benefit of employee</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t>Time reports</w:t>
            </w:r>
          </w:p>
        </w:tc>
        <w:tc>
          <w:tcPr>
            <w:tcW w:w="2835" w:type="dxa"/>
          </w:tcPr>
          <w:p w:rsidR="00BB54A6" w:rsidRPr="00BB54A6" w:rsidRDefault="00BB54A6" w:rsidP="00BB54A6">
            <w:r w:rsidRPr="00BB54A6">
              <w:t>Termination + 3 years</w:t>
            </w:r>
          </w:p>
        </w:tc>
        <w:tc>
          <w:tcPr>
            <w:tcW w:w="1701" w:type="dxa"/>
          </w:tcPr>
          <w:p w:rsidR="00BB54A6" w:rsidRPr="00BB54A6" w:rsidRDefault="00BB54A6" w:rsidP="00BB54A6">
            <w:r w:rsidRPr="00BB54A6">
              <w:t>Benefit of employee</w:t>
            </w:r>
          </w:p>
        </w:tc>
        <w:tc>
          <w:tcPr>
            <w:tcW w:w="1559" w:type="dxa"/>
          </w:tcPr>
          <w:p w:rsidR="00BB54A6" w:rsidRPr="00BB54A6" w:rsidRDefault="00BB54A6" w:rsidP="00BB54A6"/>
        </w:tc>
      </w:tr>
      <w:tr w:rsidR="00BB54A6" w:rsidRPr="00BB54A6" w:rsidTr="00697747">
        <w:tc>
          <w:tcPr>
            <w:tcW w:w="3114" w:type="dxa"/>
          </w:tcPr>
          <w:p w:rsidR="00BB54A6" w:rsidRPr="00BB54A6" w:rsidRDefault="00BB54A6" w:rsidP="00BB54A6">
            <w:r w:rsidRPr="00BB54A6">
              <w:t xml:space="preserve">Training agreements, summaries of applicants' qualifications, job criteria, interview records </w:t>
            </w:r>
          </w:p>
        </w:tc>
        <w:tc>
          <w:tcPr>
            <w:tcW w:w="2835" w:type="dxa"/>
          </w:tcPr>
          <w:p w:rsidR="00BB54A6" w:rsidRPr="00BB54A6" w:rsidRDefault="00BB54A6" w:rsidP="00BB54A6">
            <w:r w:rsidRPr="00BB54A6">
              <w:t>Duration of training + 4 years</w:t>
            </w:r>
          </w:p>
        </w:tc>
        <w:tc>
          <w:tcPr>
            <w:tcW w:w="1701" w:type="dxa"/>
          </w:tcPr>
          <w:p w:rsidR="00BB54A6" w:rsidRPr="00BB54A6" w:rsidRDefault="00BB54A6" w:rsidP="00BB54A6">
            <w:r w:rsidRPr="00BB54A6">
              <w:t>Benefit of employee</w:t>
            </w:r>
          </w:p>
        </w:tc>
        <w:tc>
          <w:tcPr>
            <w:tcW w:w="1559" w:type="dxa"/>
          </w:tcPr>
          <w:p w:rsidR="00BB54A6" w:rsidRPr="00BB54A6" w:rsidRDefault="00BB54A6" w:rsidP="00BB54A6"/>
        </w:tc>
      </w:tr>
    </w:tbl>
    <w:p w:rsidR="00BB54A6" w:rsidRDefault="00BB54A6" w:rsidP="005D6022"/>
    <w:p w:rsidR="00BB54A6" w:rsidRDefault="00BB54A6" w:rsidP="005D6022"/>
    <w:p w:rsidR="00697747" w:rsidRDefault="00697747">
      <w:pPr>
        <w:spacing w:line="240" w:lineRule="auto"/>
        <w:rPr>
          <w:rFonts w:asciiTheme="majorHAnsi" w:eastAsiaTheme="majorEastAsia" w:hAnsiTheme="majorHAnsi" w:cstheme="majorBidi"/>
          <w:b/>
          <w:bCs/>
          <w:color w:val="4F81BD" w:themeColor="accent1"/>
          <w:sz w:val="26"/>
          <w:lang w:val="en-IE"/>
        </w:rPr>
      </w:pPr>
      <w:r>
        <w:br w:type="page"/>
      </w:r>
    </w:p>
    <w:p w:rsidR="005D6022" w:rsidRDefault="005D6022" w:rsidP="00BB54A6">
      <w:pPr>
        <w:pStyle w:val="Heading3"/>
      </w:pPr>
      <w:bookmarkStart w:id="18" w:name="_Toc514426063"/>
      <w:r>
        <w:lastRenderedPageBreak/>
        <w:t>Payroll Records</w:t>
      </w:r>
      <w:bookmarkEnd w:id="18"/>
    </w:p>
    <w:p w:rsidR="00BB54A6" w:rsidRDefault="00BB54A6" w:rsidP="005D6022"/>
    <w:tbl>
      <w:tblPr>
        <w:tblStyle w:val="TableGrid"/>
        <w:tblW w:w="9209" w:type="dxa"/>
        <w:tblLook w:val="04A0" w:firstRow="1" w:lastRow="0" w:firstColumn="1" w:lastColumn="0" w:noHBand="0" w:noVBand="1"/>
      </w:tblPr>
      <w:tblGrid>
        <w:gridCol w:w="3101"/>
        <w:gridCol w:w="2825"/>
        <w:gridCol w:w="1721"/>
        <w:gridCol w:w="1562"/>
      </w:tblGrid>
      <w:tr w:rsidR="005069CC" w:rsidRPr="00BB54A6" w:rsidTr="00697747">
        <w:tc>
          <w:tcPr>
            <w:tcW w:w="3114" w:type="dxa"/>
            <w:shd w:val="clear" w:color="auto" w:fill="DBE5F1" w:themeFill="accent1" w:themeFillTint="33"/>
          </w:tcPr>
          <w:p w:rsidR="005069CC" w:rsidRPr="00BB54A6" w:rsidRDefault="005069CC" w:rsidP="002F4E0C">
            <w:pPr>
              <w:pStyle w:val="Heading4"/>
              <w:rPr>
                <w:rFonts w:eastAsia="Times New Roman"/>
              </w:rPr>
            </w:pPr>
            <w:r w:rsidRPr="00BB54A6">
              <w:rPr>
                <w:rFonts w:eastAsia="Times New Roman"/>
              </w:rPr>
              <w:t>Record</w:t>
            </w:r>
          </w:p>
        </w:tc>
        <w:tc>
          <w:tcPr>
            <w:tcW w:w="2835" w:type="dxa"/>
            <w:shd w:val="clear" w:color="auto" w:fill="DBE5F1" w:themeFill="accent1" w:themeFillTint="33"/>
          </w:tcPr>
          <w:p w:rsidR="005069CC" w:rsidRPr="00BB54A6" w:rsidRDefault="005069CC" w:rsidP="002F4E0C">
            <w:pPr>
              <w:pStyle w:val="Heading4"/>
              <w:rPr>
                <w:rFonts w:eastAsia="Times New Roman"/>
              </w:rPr>
            </w:pPr>
            <w:r w:rsidRPr="00BB54A6">
              <w:rPr>
                <w:rFonts w:eastAsia="Times New Roman"/>
              </w:rPr>
              <w:t>Retention Period</w:t>
            </w:r>
          </w:p>
        </w:tc>
        <w:tc>
          <w:tcPr>
            <w:tcW w:w="1701" w:type="dxa"/>
            <w:shd w:val="clear" w:color="auto" w:fill="DBE5F1" w:themeFill="accent1" w:themeFillTint="33"/>
          </w:tcPr>
          <w:p w:rsidR="005069CC" w:rsidRPr="00BB54A6" w:rsidRDefault="005069CC" w:rsidP="002F4E0C">
            <w:pPr>
              <w:pStyle w:val="Heading4"/>
              <w:rPr>
                <w:rFonts w:eastAsia="Times New Roman"/>
              </w:rPr>
            </w:pPr>
            <w:r w:rsidRPr="00BB54A6">
              <w:rPr>
                <w:rFonts w:eastAsia="Times New Roman"/>
              </w:rPr>
              <w:t>Justification for time frame</w:t>
            </w:r>
          </w:p>
        </w:tc>
        <w:tc>
          <w:tcPr>
            <w:tcW w:w="1559" w:type="dxa"/>
            <w:shd w:val="clear" w:color="auto" w:fill="DBE5F1" w:themeFill="accent1" w:themeFillTint="33"/>
          </w:tcPr>
          <w:p w:rsidR="005069CC" w:rsidRPr="00BB54A6" w:rsidRDefault="005069CC" w:rsidP="002F4E0C">
            <w:pPr>
              <w:pStyle w:val="Heading4"/>
              <w:rPr>
                <w:rFonts w:eastAsia="Times New Roman"/>
              </w:rPr>
            </w:pPr>
            <w:r w:rsidRPr="00BB54A6">
              <w:rPr>
                <w:rFonts w:eastAsia="Times New Roman"/>
              </w:rPr>
              <w:t xml:space="preserve">Legal basis for processing </w:t>
            </w:r>
          </w:p>
        </w:tc>
      </w:tr>
      <w:tr w:rsidR="005069CC" w:rsidRPr="00BB54A6" w:rsidTr="00697747">
        <w:tc>
          <w:tcPr>
            <w:tcW w:w="3114" w:type="dxa"/>
          </w:tcPr>
          <w:p w:rsidR="005069CC" w:rsidRPr="00BB54A6" w:rsidRDefault="005069CC" w:rsidP="00697747">
            <w:r>
              <w:t>Payroll registers (gross and net)</w:t>
            </w:r>
          </w:p>
        </w:tc>
        <w:tc>
          <w:tcPr>
            <w:tcW w:w="2835" w:type="dxa"/>
          </w:tcPr>
          <w:p w:rsidR="005069CC" w:rsidRPr="00BB54A6" w:rsidRDefault="005069CC" w:rsidP="00697747">
            <w:r>
              <w:t>3 years from the last date of entry</w:t>
            </w:r>
          </w:p>
        </w:tc>
        <w:tc>
          <w:tcPr>
            <w:tcW w:w="1701" w:type="dxa"/>
          </w:tcPr>
          <w:p w:rsidR="005069CC" w:rsidRPr="00BB54A6" w:rsidRDefault="005069CC" w:rsidP="00697747">
            <w:pPr>
              <w:rPr>
                <w:highlight w:val="yellow"/>
              </w:rPr>
            </w:pPr>
            <w:r>
              <w:t>Benefit of employee</w:t>
            </w:r>
          </w:p>
        </w:tc>
        <w:tc>
          <w:tcPr>
            <w:tcW w:w="1559" w:type="dxa"/>
          </w:tcPr>
          <w:p w:rsidR="005069CC" w:rsidRPr="00BB54A6" w:rsidRDefault="005069CC" w:rsidP="00697747">
            <w:pPr>
              <w:rPr>
                <w:highlight w:val="yellow"/>
              </w:rPr>
            </w:pPr>
          </w:p>
        </w:tc>
      </w:tr>
      <w:tr w:rsidR="005069CC" w:rsidRPr="00BB54A6" w:rsidTr="00697747">
        <w:tc>
          <w:tcPr>
            <w:tcW w:w="3114" w:type="dxa"/>
          </w:tcPr>
          <w:p w:rsidR="005069CC" w:rsidRPr="00BB54A6" w:rsidRDefault="005069CC" w:rsidP="00697747">
            <w:r>
              <w:t>Time cards; piece work tickets; wage rate tables; pay rates; work and time schedules; earnings records; records of additions to or deductions from wages; records on which wage computations are based</w:t>
            </w:r>
          </w:p>
        </w:tc>
        <w:tc>
          <w:tcPr>
            <w:tcW w:w="2835" w:type="dxa"/>
          </w:tcPr>
          <w:p w:rsidR="005069CC" w:rsidRPr="00BB54A6" w:rsidRDefault="005069CC" w:rsidP="00697747">
            <w:r w:rsidRPr="00BB54A6">
              <w:t>7 years</w:t>
            </w:r>
          </w:p>
        </w:tc>
        <w:tc>
          <w:tcPr>
            <w:tcW w:w="1701" w:type="dxa"/>
          </w:tcPr>
          <w:p w:rsidR="005069CC" w:rsidRPr="00BB54A6" w:rsidRDefault="005069CC" w:rsidP="00697747">
            <w:pPr>
              <w:rPr>
                <w:highlight w:val="yellow"/>
              </w:rPr>
            </w:pPr>
            <w:r>
              <w:t>Benefit of employee</w:t>
            </w:r>
          </w:p>
        </w:tc>
        <w:tc>
          <w:tcPr>
            <w:tcW w:w="1559" w:type="dxa"/>
          </w:tcPr>
          <w:p w:rsidR="005069CC" w:rsidRPr="00BB54A6" w:rsidRDefault="005069CC" w:rsidP="00697747">
            <w:pPr>
              <w:rPr>
                <w:highlight w:val="yellow"/>
              </w:rPr>
            </w:pPr>
          </w:p>
        </w:tc>
      </w:tr>
    </w:tbl>
    <w:p w:rsidR="00BB54A6" w:rsidRDefault="00BB54A6" w:rsidP="005D6022"/>
    <w:p w:rsidR="005069CC" w:rsidRDefault="005069CC" w:rsidP="005069CC"/>
    <w:p w:rsidR="005D6022" w:rsidRDefault="005D6022" w:rsidP="005D6022"/>
    <w:p w:rsidR="005D6022" w:rsidRDefault="005D6022" w:rsidP="00BB54A6">
      <w:pPr>
        <w:pStyle w:val="Heading3"/>
      </w:pPr>
      <w:bookmarkStart w:id="19" w:name="_Toc514426064"/>
      <w:r>
        <w:t>Prospective employees</w:t>
      </w:r>
      <w:bookmarkEnd w:id="19"/>
    </w:p>
    <w:p w:rsidR="00BB54A6" w:rsidRDefault="00BB54A6" w:rsidP="005D6022"/>
    <w:tbl>
      <w:tblPr>
        <w:tblStyle w:val="TableGrid"/>
        <w:tblW w:w="9209" w:type="dxa"/>
        <w:tblLook w:val="04A0" w:firstRow="1" w:lastRow="0" w:firstColumn="1" w:lastColumn="0" w:noHBand="0" w:noVBand="1"/>
      </w:tblPr>
      <w:tblGrid>
        <w:gridCol w:w="3101"/>
        <w:gridCol w:w="2825"/>
        <w:gridCol w:w="1721"/>
        <w:gridCol w:w="1562"/>
      </w:tblGrid>
      <w:tr w:rsidR="005069CC" w:rsidRPr="00BB54A6" w:rsidTr="00697747">
        <w:tc>
          <w:tcPr>
            <w:tcW w:w="3114" w:type="dxa"/>
            <w:shd w:val="clear" w:color="auto" w:fill="DBE5F1" w:themeFill="accent1" w:themeFillTint="33"/>
          </w:tcPr>
          <w:p w:rsidR="005069CC" w:rsidRPr="00BB54A6" w:rsidRDefault="005069CC" w:rsidP="002F4E0C">
            <w:pPr>
              <w:pStyle w:val="Heading4"/>
              <w:rPr>
                <w:rFonts w:eastAsia="Times New Roman"/>
              </w:rPr>
            </w:pPr>
            <w:r w:rsidRPr="00BB54A6">
              <w:rPr>
                <w:rFonts w:eastAsia="Times New Roman"/>
              </w:rPr>
              <w:t>Record</w:t>
            </w:r>
          </w:p>
        </w:tc>
        <w:tc>
          <w:tcPr>
            <w:tcW w:w="2835" w:type="dxa"/>
            <w:shd w:val="clear" w:color="auto" w:fill="DBE5F1" w:themeFill="accent1" w:themeFillTint="33"/>
          </w:tcPr>
          <w:p w:rsidR="005069CC" w:rsidRPr="00BB54A6" w:rsidRDefault="005069CC" w:rsidP="002F4E0C">
            <w:pPr>
              <w:pStyle w:val="Heading4"/>
              <w:rPr>
                <w:rFonts w:eastAsia="Times New Roman"/>
              </w:rPr>
            </w:pPr>
            <w:r w:rsidRPr="00BB54A6">
              <w:rPr>
                <w:rFonts w:eastAsia="Times New Roman"/>
              </w:rPr>
              <w:t>Retention Period</w:t>
            </w:r>
          </w:p>
        </w:tc>
        <w:tc>
          <w:tcPr>
            <w:tcW w:w="1701" w:type="dxa"/>
            <w:shd w:val="clear" w:color="auto" w:fill="DBE5F1" w:themeFill="accent1" w:themeFillTint="33"/>
          </w:tcPr>
          <w:p w:rsidR="005069CC" w:rsidRPr="00BB54A6" w:rsidRDefault="005069CC" w:rsidP="002F4E0C">
            <w:pPr>
              <w:pStyle w:val="Heading4"/>
              <w:rPr>
                <w:rFonts w:eastAsia="Times New Roman"/>
              </w:rPr>
            </w:pPr>
            <w:r w:rsidRPr="00BB54A6">
              <w:rPr>
                <w:rFonts w:eastAsia="Times New Roman"/>
              </w:rPr>
              <w:t>Justification for time frame</w:t>
            </w:r>
          </w:p>
        </w:tc>
        <w:tc>
          <w:tcPr>
            <w:tcW w:w="1559" w:type="dxa"/>
            <w:shd w:val="clear" w:color="auto" w:fill="DBE5F1" w:themeFill="accent1" w:themeFillTint="33"/>
          </w:tcPr>
          <w:p w:rsidR="005069CC" w:rsidRPr="00BB54A6" w:rsidRDefault="005069CC" w:rsidP="002F4E0C">
            <w:pPr>
              <w:pStyle w:val="Heading4"/>
              <w:rPr>
                <w:rFonts w:eastAsia="Times New Roman"/>
              </w:rPr>
            </w:pPr>
            <w:r w:rsidRPr="00BB54A6">
              <w:rPr>
                <w:rFonts w:eastAsia="Times New Roman"/>
              </w:rPr>
              <w:t xml:space="preserve">Legal basis for processing </w:t>
            </w:r>
          </w:p>
        </w:tc>
      </w:tr>
      <w:tr w:rsidR="005069CC" w:rsidRPr="00BB54A6" w:rsidTr="00697747">
        <w:tc>
          <w:tcPr>
            <w:tcW w:w="3114" w:type="dxa"/>
          </w:tcPr>
          <w:p w:rsidR="005069CC" w:rsidRPr="00BB54A6" w:rsidRDefault="005069CC" w:rsidP="00697747">
            <w:r>
              <w:t>Curriculum vitae</w:t>
            </w:r>
          </w:p>
        </w:tc>
        <w:tc>
          <w:tcPr>
            <w:tcW w:w="2835" w:type="dxa"/>
          </w:tcPr>
          <w:p w:rsidR="005069CC" w:rsidRPr="00BB54A6" w:rsidRDefault="005069CC" w:rsidP="005069CC">
            <w:r>
              <w:t>2 years</w:t>
            </w:r>
          </w:p>
        </w:tc>
        <w:tc>
          <w:tcPr>
            <w:tcW w:w="1701" w:type="dxa"/>
          </w:tcPr>
          <w:p w:rsidR="005069CC" w:rsidRPr="00BB54A6" w:rsidRDefault="005069CC" w:rsidP="00697747">
            <w:pPr>
              <w:rPr>
                <w:highlight w:val="yellow"/>
              </w:rPr>
            </w:pPr>
            <w:r>
              <w:t>For future employment opportunities</w:t>
            </w:r>
          </w:p>
        </w:tc>
        <w:tc>
          <w:tcPr>
            <w:tcW w:w="1559" w:type="dxa"/>
          </w:tcPr>
          <w:p w:rsidR="005069CC" w:rsidRPr="00BB54A6" w:rsidRDefault="005069CC" w:rsidP="00697747">
            <w:pPr>
              <w:rPr>
                <w:highlight w:val="yellow"/>
              </w:rPr>
            </w:pPr>
          </w:p>
        </w:tc>
      </w:tr>
      <w:tr w:rsidR="005069CC" w:rsidRPr="00BB54A6" w:rsidTr="00697747">
        <w:tc>
          <w:tcPr>
            <w:tcW w:w="3114" w:type="dxa"/>
          </w:tcPr>
          <w:p w:rsidR="005069CC" w:rsidRPr="00BB54A6" w:rsidRDefault="005069CC" w:rsidP="00697747">
            <w:r>
              <w:t>Interview notes</w:t>
            </w:r>
          </w:p>
        </w:tc>
        <w:tc>
          <w:tcPr>
            <w:tcW w:w="2835" w:type="dxa"/>
          </w:tcPr>
          <w:p w:rsidR="005069CC" w:rsidRPr="00BB54A6" w:rsidRDefault="005069CC" w:rsidP="00697747">
            <w:r>
              <w:t>2</w:t>
            </w:r>
            <w:r w:rsidRPr="00BB54A6">
              <w:t xml:space="preserve"> years</w:t>
            </w:r>
          </w:p>
        </w:tc>
        <w:tc>
          <w:tcPr>
            <w:tcW w:w="1701" w:type="dxa"/>
          </w:tcPr>
          <w:p w:rsidR="005069CC" w:rsidRPr="00BB54A6" w:rsidRDefault="005069CC" w:rsidP="00697747">
            <w:pPr>
              <w:rPr>
                <w:highlight w:val="yellow"/>
              </w:rPr>
            </w:pPr>
            <w:r>
              <w:t>For future employment opportunities</w:t>
            </w:r>
          </w:p>
        </w:tc>
        <w:tc>
          <w:tcPr>
            <w:tcW w:w="1559" w:type="dxa"/>
          </w:tcPr>
          <w:p w:rsidR="005069CC" w:rsidRPr="00BB54A6" w:rsidRDefault="005069CC" w:rsidP="00697747">
            <w:pPr>
              <w:rPr>
                <w:highlight w:val="yellow"/>
              </w:rPr>
            </w:pPr>
          </w:p>
        </w:tc>
      </w:tr>
    </w:tbl>
    <w:p w:rsidR="005D6022" w:rsidRDefault="005D6022" w:rsidP="005D6022"/>
    <w:p w:rsidR="00697747" w:rsidRDefault="00697747">
      <w:pPr>
        <w:spacing w:line="240" w:lineRule="auto"/>
        <w:rPr>
          <w:rFonts w:asciiTheme="majorHAnsi" w:eastAsiaTheme="majorEastAsia" w:hAnsiTheme="majorHAnsi" w:cstheme="majorBidi"/>
          <w:b/>
          <w:bCs/>
          <w:color w:val="4F81BD" w:themeColor="accent1"/>
          <w:sz w:val="26"/>
          <w:lang w:val="en-IE"/>
        </w:rPr>
      </w:pPr>
      <w:r>
        <w:br w:type="page"/>
      </w:r>
    </w:p>
    <w:p w:rsidR="005D6022" w:rsidRDefault="005D6022" w:rsidP="00BB54A6">
      <w:pPr>
        <w:pStyle w:val="Heading3"/>
      </w:pPr>
      <w:bookmarkStart w:id="20" w:name="_Toc514426065"/>
      <w:r>
        <w:lastRenderedPageBreak/>
        <w:t>Grant applicants</w:t>
      </w:r>
      <w:bookmarkEnd w:id="20"/>
    </w:p>
    <w:p w:rsidR="00BB54A6" w:rsidRDefault="00BB54A6" w:rsidP="005D6022"/>
    <w:tbl>
      <w:tblPr>
        <w:tblStyle w:val="TableGrid"/>
        <w:tblW w:w="9288" w:type="dxa"/>
        <w:tblLook w:val="04A0" w:firstRow="1" w:lastRow="0" w:firstColumn="1" w:lastColumn="0" w:noHBand="0" w:noVBand="1"/>
      </w:tblPr>
      <w:tblGrid>
        <w:gridCol w:w="3691"/>
        <w:gridCol w:w="3524"/>
        <w:gridCol w:w="2073"/>
      </w:tblGrid>
      <w:tr w:rsidR="002F4E0C" w:rsidRPr="00BB54A6" w:rsidTr="002F4E0C">
        <w:trPr>
          <w:trHeight w:val="1612"/>
        </w:trPr>
        <w:tc>
          <w:tcPr>
            <w:tcW w:w="3769" w:type="dxa"/>
            <w:shd w:val="clear" w:color="auto" w:fill="DBE5F1" w:themeFill="accent1" w:themeFillTint="33"/>
          </w:tcPr>
          <w:p w:rsidR="002F4E0C" w:rsidRPr="002F4E0C" w:rsidRDefault="002F4E0C" w:rsidP="002F4E0C">
            <w:pPr>
              <w:pStyle w:val="Heading4"/>
              <w:rPr>
                <w:rFonts w:eastAsia="Times New Roman"/>
              </w:rPr>
            </w:pPr>
            <w:r w:rsidRPr="002F4E0C">
              <w:t>Categories of personal information</w:t>
            </w:r>
            <w:r w:rsidRPr="002F4E0C">
              <w:rPr>
                <w:rFonts w:eastAsia="Times New Roman"/>
              </w:rPr>
              <w:tab/>
            </w:r>
          </w:p>
        </w:tc>
        <w:tc>
          <w:tcPr>
            <w:tcW w:w="3430" w:type="dxa"/>
            <w:shd w:val="clear" w:color="auto" w:fill="DBE5F1" w:themeFill="accent1" w:themeFillTint="33"/>
          </w:tcPr>
          <w:p w:rsidR="002F4E0C" w:rsidRPr="00BB54A6" w:rsidRDefault="002F4E0C" w:rsidP="002F4E0C">
            <w:pPr>
              <w:pStyle w:val="Heading4"/>
              <w:rPr>
                <w:rFonts w:eastAsia="Times New Roman"/>
              </w:rPr>
            </w:pPr>
            <w:r>
              <w:t>Retention period</w:t>
            </w:r>
          </w:p>
        </w:tc>
        <w:tc>
          <w:tcPr>
            <w:tcW w:w="2089" w:type="dxa"/>
            <w:shd w:val="clear" w:color="auto" w:fill="DBE5F1" w:themeFill="accent1" w:themeFillTint="33"/>
          </w:tcPr>
          <w:p w:rsidR="002F4E0C" w:rsidRPr="00BB54A6" w:rsidRDefault="002F4E0C" w:rsidP="002F4E0C">
            <w:pPr>
              <w:pStyle w:val="Heading4"/>
              <w:rPr>
                <w:rFonts w:eastAsia="Times New Roman"/>
              </w:rPr>
            </w:pPr>
            <w:r>
              <w:t>Justification for timeframe</w:t>
            </w:r>
          </w:p>
        </w:tc>
      </w:tr>
      <w:tr w:rsidR="002F4E0C" w:rsidRPr="00BB54A6" w:rsidTr="00C457EE">
        <w:trPr>
          <w:trHeight w:val="1045"/>
        </w:trPr>
        <w:tc>
          <w:tcPr>
            <w:tcW w:w="3769" w:type="dxa"/>
          </w:tcPr>
          <w:p w:rsidR="002F4E0C" w:rsidRPr="002F4E0C" w:rsidRDefault="002F4E0C" w:rsidP="00F45028">
            <w:r w:rsidRPr="002F4E0C">
              <w:rPr>
                <w:color w:val="333132"/>
              </w:rPr>
              <w:t>Unsuccessful applications</w:t>
            </w:r>
          </w:p>
        </w:tc>
        <w:tc>
          <w:tcPr>
            <w:tcW w:w="3430" w:type="dxa"/>
          </w:tcPr>
          <w:tbl>
            <w:tblPr>
              <w:tblW w:w="4927" w:type="pct"/>
              <w:tblInd w:w="3" w:type="dxa"/>
              <w:tblCellMar>
                <w:top w:w="15" w:type="dxa"/>
                <w:left w:w="15" w:type="dxa"/>
                <w:bottom w:w="15" w:type="dxa"/>
                <w:right w:w="15" w:type="dxa"/>
              </w:tblCellMar>
              <w:tblLook w:val="04A0" w:firstRow="1" w:lastRow="0" w:firstColumn="1" w:lastColumn="0" w:noHBand="0" w:noVBand="1"/>
            </w:tblPr>
            <w:tblGrid>
              <w:gridCol w:w="3254"/>
              <w:gridCol w:w="6"/>
            </w:tblGrid>
            <w:tr w:rsidR="002F4E0C" w:rsidRPr="002F4E0C" w:rsidTr="00C457EE">
              <w:trPr>
                <w:trHeight w:val="914"/>
              </w:trPr>
              <w:tc>
                <w:tcPr>
                  <w:tcW w:w="0" w:type="auto"/>
                  <w:tcBorders>
                    <w:bottom w:val="single" w:sz="6" w:space="0" w:color="C6D1EE"/>
                  </w:tcBorders>
                  <w:shd w:val="clear" w:color="auto" w:fill="auto"/>
                  <w:tcMar>
                    <w:top w:w="0" w:type="dxa"/>
                    <w:left w:w="0" w:type="dxa"/>
                    <w:bottom w:w="0" w:type="dxa"/>
                    <w:right w:w="0" w:type="dxa"/>
                  </w:tcMar>
                  <w:vAlign w:val="center"/>
                </w:tcPr>
                <w:p w:rsidR="002F4E0C" w:rsidRPr="00C457EE" w:rsidRDefault="002F4E0C" w:rsidP="002F4E0C">
                  <w:pPr>
                    <w:spacing w:after="405" w:line="240" w:lineRule="auto"/>
                    <w:rPr>
                      <w:rFonts w:eastAsia="Times New Roman" w:cs="Times New Roman"/>
                      <w:color w:val="333132"/>
                      <w:lang w:val="en-IE" w:eastAsia="en-IE"/>
                    </w:rPr>
                  </w:pPr>
                  <w:bookmarkStart w:id="21" w:name="_GoBack"/>
                  <w:bookmarkEnd w:id="21"/>
                  <w:r w:rsidRPr="00C457EE">
                    <w:rPr>
                      <w:color w:val="333132"/>
                    </w:rPr>
                    <w:t>Board approval plus 5 years, at annual data cleanse</w:t>
                  </w:r>
                </w:p>
              </w:tc>
              <w:tc>
                <w:tcPr>
                  <w:tcW w:w="0" w:type="auto"/>
                  <w:tcBorders>
                    <w:bottom w:val="single" w:sz="6" w:space="0" w:color="C6D1EE"/>
                  </w:tcBorders>
                  <w:shd w:val="clear" w:color="auto" w:fill="auto"/>
                  <w:tcMar>
                    <w:top w:w="0" w:type="dxa"/>
                    <w:left w:w="0" w:type="dxa"/>
                    <w:bottom w:w="0" w:type="dxa"/>
                    <w:right w:w="0" w:type="dxa"/>
                  </w:tcMar>
                  <w:vAlign w:val="center"/>
                </w:tcPr>
                <w:p w:rsidR="002F4E0C" w:rsidRPr="002F4E0C" w:rsidRDefault="002F4E0C" w:rsidP="002F4E0C">
                  <w:pPr>
                    <w:spacing w:after="405" w:line="240" w:lineRule="auto"/>
                    <w:rPr>
                      <w:rFonts w:eastAsia="Times New Roman" w:cs="Times New Roman"/>
                      <w:color w:val="333132"/>
                      <w:lang w:val="en-IE" w:eastAsia="en-IE"/>
                    </w:rPr>
                  </w:pPr>
                </w:p>
              </w:tc>
            </w:tr>
          </w:tbl>
          <w:p w:rsidR="002F4E0C" w:rsidRPr="002F4E0C" w:rsidRDefault="002F4E0C" w:rsidP="00697747"/>
        </w:tc>
        <w:tc>
          <w:tcPr>
            <w:tcW w:w="2089" w:type="dxa"/>
          </w:tcPr>
          <w:p w:rsidR="002F4E0C" w:rsidRPr="002F4E0C" w:rsidRDefault="002F4E0C" w:rsidP="00697747">
            <w:pPr>
              <w:rPr>
                <w:highlight w:val="yellow"/>
              </w:rPr>
            </w:pPr>
            <w:r w:rsidRPr="002F4E0C">
              <w:rPr>
                <w:color w:val="333132"/>
              </w:rPr>
              <w:t>To respond to PQ, evaluation queries</w:t>
            </w:r>
          </w:p>
        </w:tc>
      </w:tr>
      <w:tr w:rsidR="002F4E0C" w:rsidRPr="00BB54A6" w:rsidTr="002F4E0C">
        <w:trPr>
          <w:trHeight w:val="463"/>
        </w:trPr>
        <w:tc>
          <w:tcPr>
            <w:tcW w:w="3769" w:type="dxa"/>
          </w:tcPr>
          <w:p w:rsidR="002F4E0C" w:rsidRPr="002F4E0C" w:rsidRDefault="002F4E0C" w:rsidP="00F45028">
            <w:r w:rsidRPr="002F4E0C">
              <w:rPr>
                <w:color w:val="333132"/>
              </w:rPr>
              <w:t>Peer reviewers’ comments</w:t>
            </w:r>
          </w:p>
        </w:tc>
        <w:tc>
          <w:tcPr>
            <w:tcW w:w="3430" w:type="dxa"/>
          </w:tcPr>
          <w:p w:rsidR="002F4E0C" w:rsidRPr="002F4E0C" w:rsidRDefault="002F4E0C" w:rsidP="00697747">
            <w:r w:rsidRPr="002F4E0C">
              <w:rPr>
                <w:color w:val="333132"/>
              </w:rPr>
              <w:t>In line with application</w:t>
            </w:r>
          </w:p>
        </w:tc>
        <w:tc>
          <w:tcPr>
            <w:tcW w:w="2089" w:type="dxa"/>
          </w:tcPr>
          <w:p w:rsidR="002F4E0C" w:rsidRPr="002F4E0C" w:rsidRDefault="002F4E0C" w:rsidP="00697747">
            <w:pPr>
              <w:rPr>
                <w:highlight w:val="yellow"/>
              </w:rPr>
            </w:pPr>
          </w:p>
        </w:tc>
      </w:tr>
      <w:tr w:rsidR="002F4E0C" w:rsidRPr="00BB54A6" w:rsidTr="00C457EE">
        <w:trPr>
          <w:trHeight w:val="766"/>
        </w:trPr>
        <w:tc>
          <w:tcPr>
            <w:tcW w:w="3769" w:type="dxa"/>
          </w:tcPr>
          <w:p w:rsidR="002F4E0C" w:rsidRPr="002F4E0C" w:rsidRDefault="002F4E0C" w:rsidP="00F45028">
            <w:pPr>
              <w:rPr>
                <w:color w:val="333132"/>
              </w:rPr>
            </w:pPr>
            <w:r w:rsidRPr="002F4E0C">
              <w:rPr>
                <w:color w:val="333132"/>
              </w:rPr>
              <w:t>Panel members’ comments</w:t>
            </w:r>
          </w:p>
        </w:tc>
        <w:tc>
          <w:tcPr>
            <w:tcW w:w="3430" w:type="dxa"/>
          </w:tcPr>
          <w:tbl>
            <w:tblPr>
              <w:tblW w:w="3305" w:type="dxa"/>
              <w:tblInd w:w="3" w:type="dxa"/>
              <w:tblCellMar>
                <w:top w:w="15" w:type="dxa"/>
                <w:left w:w="15" w:type="dxa"/>
                <w:bottom w:w="15" w:type="dxa"/>
                <w:right w:w="15" w:type="dxa"/>
              </w:tblCellMar>
              <w:tblLook w:val="04A0" w:firstRow="1" w:lastRow="0" w:firstColumn="1" w:lastColumn="0" w:noHBand="0" w:noVBand="1"/>
            </w:tblPr>
            <w:tblGrid>
              <w:gridCol w:w="3295"/>
              <w:gridCol w:w="10"/>
            </w:tblGrid>
            <w:tr w:rsidR="002F4E0C" w:rsidRPr="002F4E0C" w:rsidTr="00C457EE">
              <w:trPr>
                <w:trHeight w:val="776"/>
              </w:trPr>
              <w:tc>
                <w:tcPr>
                  <w:tcW w:w="0" w:type="auto"/>
                  <w:tcBorders>
                    <w:bottom w:val="single" w:sz="6" w:space="0" w:color="C6D1EE"/>
                  </w:tcBorders>
                  <w:shd w:val="clear" w:color="auto" w:fill="auto"/>
                  <w:tcMar>
                    <w:top w:w="0" w:type="dxa"/>
                    <w:left w:w="0" w:type="dxa"/>
                    <w:bottom w:w="0" w:type="dxa"/>
                    <w:right w:w="0" w:type="dxa"/>
                  </w:tcMar>
                  <w:vAlign w:val="center"/>
                </w:tcPr>
                <w:p w:rsidR="002F4E0C" w:rsidRPr="002F4E0C" w:rsidRDefault="002F4E0C" w:rsidP="002F4E0C">
                  <w:pPr>
                    <w:spacing w:after="405" w:line="240" w:lineRule="auto"/>
                    <w:rPr>
                      <w:rFonts w:eastAsia="Times New Roman" w:cs="Times New Roman"/>
                      <w:color w:val="333132"/>
                      <w:lang w:val="en-IE" w:eastAsia="en-IE"/>
                    </w:rPr>
                  </w:pPr>
                  <w:r w:rsidRPr="002F4E0C">
                    <w:rPr>
                      <w:color w:val="333132"/>
                    </w:rPr>
                    <w:t>In line with application</w:t>
                  </w:r>
                </w:p>
              </w:tc>
              <w:tc>
                <w:tcPr>
                  <w:tcW w:w="0" w:type="auto"/>
                  <w:tcBorders>
                    <w:bottom w:val="single" w:sz="6" w:space="0" w:color="C6D1EE"/>
                  </w:tcBorders>
                  <w:shd w:val="clear" w:color="auto" w:fill="auto"/>
                  <w:tcMar>
                    <w:top w:w="0" w:type="dxa"/>
                    <w:left w:w="0" w:type="dxa"/>
                    <w:bottom w:w="0" w:type="dxa"/>
                    <w:right w:w="0" w:type="dxa"/>
                  </w:tcMar>
                  <w:vAlign w:val="center"/>
                </w:tcPr>
                <w:p w:rsidR="002F4E0C" w:rsidRPr="002F4E0C" w:rsidRDefault="002F4E0C" w:rsidP="002F4E0C">
                  <w:pPr>
                    <w:spacing w:after="405" w:line="240" w:lineRule="auto"/>
                    <w:rPr>
                      <w:rFonts w:eastAsia="Times New Roman" w:cs="Times New Roman"/>
                      <w:color w:val="333132"/>
                      <w:lang w:val="en-IE" w:eastAsia="en-IE"/>
                    </w:rPr>
                  </w:pPr>
                </w:p>
              </w:tc>
            </w:tr>
          </w:tbl>
          <w:p w:rsidR="002F4E0C" w:rsidRPr="002F4E0C" w:rsidRDefault="002F4E0C" w:rsidP="00697747">
            <w:pPr>
              <w:rPr>
                <w:color w:val="333132"/>
              </w:rPr>
            </w:pPr>
          </w:p>
        </w:tc>
        <w:tc>
          <w:tcPr>
            <w:tcW w:w="2089" w:type="dxa"/>
          </w:tcPr>
          <w:p w:rsidR="002F4E0C" w:rsidRPr="002F4E0C" w:rsidRDefault="002F4E0C" w:rsidP="00697747">
            <w:pPr>
              <w:rPr>
                <w:highlight w:val="yellow"/>
              </w:rPr>
            </w:pPr>
          </w:p>
        </w:tc>
      </w:tr>
      <w:tr w:rsidR="002F4E0C" w:rsidRPr="00BB54A6" w:rsidTr="002F4E0C">
        <w:trPr>
          <w:trHeight w:val="926"/>
        </w:trPr>
        <w:tc>
          <w:tcPr>
            <w:tcW w:w="3769" w:type="dxa"/>
          </w:tcPr>
          <w:p w:rsidR="002F4E0C" w:rsidRPr="002F4E0C" w:rsidRDefault="002F4E0C" w:rsidP="00F45028">
            <w:pPr>
              <w:rPr>
                <w:color w:val="333132"/>
              </w:rPr>
            </w:pPr>
            <w:r w:rsidRPr="002F4E0C">
              <w:rPr>
                <w:color w:val="333132"/>
              </w:rPr>
              <w:t>Peer and panel members contact details</w:t>
            </w:r>
          </w:p>
        </w:tc>
        <w:tc>
          <w:tcPr>
            <w:tcW w:w="3430" w:type="dxa"/>
          </w:tcPr>
          <w:p w:rsidR="002F4E0C" w:rsidRPr="002F4E0C" w:rsidRDefault="002F4E0C" w:rsidP="00697747">
            <w:pPr>
              <w:rPr>
                <w:color w:val="333132"/>
              </w:rPr>
            </w:pPr>
            <w:r w:rsidRPr="002F4E0C">
              <w:rPr>
                <w:color w:val="333132"/>
              </w:rPr>
              <w:t>In line with application</w:t>
            </w:r>
          </w:p>
        </w:tc>
        <w:tc>
          <w:tcPr>
            <w:tcW w:w="2089" w:type="dxa"/>
          </w:tcPr>
          <w:p w:rsidR="002F4E0C" w:rsidRPr="002F4E0C" w:rsidRDefault="002F4E0C" w:rsidP="00697747">
            <w:pPr>
              <w:rPr>
                <w:highlight w:val="yellow"/>
              </w:rPr>
            </w:pPr>
          </w:p>
        </w:tc>
      </w:tr>
      <w:tr w:rsidR="002F4E0C" w:rsidRPr="00BB54A6" w:rsidTr="002F4E0C">
        <w:trPr>
          <w:trHeight w:val="926"/>
        </w:trPr>
        <w:tc>
          <w:tcPr>
            <w:tcW w:w="3769" w:type="dxa"/>
          </w:tcPr>
          <w:p w:rsidR="002F4E0C" w:rsidRPr="002F4E0C" w:rsidRDefault="002F4E0C" w:rsidP="00F45028">
            <w:pPr>
              <w:rPr>
                <w:color w:val="333132"/>
              </w:rPr>
            </w:pPr>
            <w:r w:rsidRPr="002F4E0C">
              <w:rPr>
                <w:color w:val="333132"/>
              </w:rPr>
              <w:t>Successful applications/awards after period of award</w:t>
            </w:r>
          </w:p>
        </w:tc>
        <w:tc>
          <w:tcPr>
            <w:tcW w:w="3430" w:type="dxa"/>
          </w:tcPr>
          <w:p w:rsidR="002F4E0C" w:rsidRPr="002F4E0C" w:rsidRDefault="002F4E0C" w:rsidP="00697747">
            <w:pPr>
              <w:rPr>
                <w:color w:val="333132"/>
              </w:rPr>
            </w:pPr>
            <w:r w:rsidRPr="002F4E0C">
              <w:rPr>
                <w:color w:val="333132"/>
              </w:rPr>
              <w:t>EOG plus 10 years, at annual data cleanse</w:t>
            </w:r>
          </w:p>
        </w:tc>
        <w:tc>
          <w:tcPr>
            <w:tcW w:w="2089" w:type="dxa"/>
          </w:tcPr>
          <w:p w:rsidR="002F4E0C" w:rsidRPr="002F4E0C" w:rsidRDefault="002F4E0C" w:rsidP="00697747">
            <w:pPr>
              <w:rPr>
                <w:highlight w:val="yellow"/>
              </w:rPr>
            </w:pPr>
            <w:r w:rsidRPr="002F4E0C">
              <w:rPr>
                <w:color w:val="333132"/>
              </w:rPr>
              <w:t>To measure impact of awards/career of PI, scheme review and evaluation activities.</w:t>
            </w:r>
          </w:p>
        </w:tc>
      </w:tr>
      <w:tr w:rsidR="002F4E0C" w:rsidRPr="00BB54A6" w:rsidTr="002F4E0C">
        <w:trPr>
          <w:trHeight w:val="926"/>
        </w:trPr>
        <w:tc>
          <w:tcPr>
            <w:tcW w:w="3769" w:type="dxa"/>
          </w:tcPr>
          <w:p w:rsidR="002F4E0C" w:rsidRPr="002F4E0C" w:rsidRDefault="002F4E0C" w:rsidP="00F45028">
            <w:pPr>
              <w:rPr>
                <w:color w:val="333132"/>
              </w:rPr>
            </w:pPr>
            <w:r w:rsidRPr="002F4E0C">
              <w:rPr>
                <w:color w:val="333132"/>
              </w:rPr>
              <w:t>Personnel information on awards</w:t>
            </w:r>
          </w:p>
        </w:tc>
        <w:tc>
          <w:tcPr>
            <w:tcW w:w="3430" w:type="dxa"/>
          </w:tcPr>
          <w:p w:rsidR="002F4E0C" w:rsidRPr="002F4E0C" w:rsidRDefault="002F4E0C" w:rsidP="00697747">
            <w:pPr>
              <w:rPr>
                <w:color w:val="333132"/>
              </w:rPr>
            </w:pPr>
            <w:r w:rsidRPr="002F4E0C">
              <w:rPr>
                <w:color w:val="333132"/>
              </w:rPr>
              <w:t>EOG plus 10 years, at annual data cleanse</w:t>
            </w:r>
          </w:p>
        </w:tc>
        <w:tc>
          <w:tcPr>
            <w:tcW w:w="2089" w:type="dxa"/>
          </w:tcPr>
          <w:p w:rsidR="002F4E0C" w:rsidRPr="002F4E0C" w:rsidRDefault="002F4E0C" w:rsidP="00697747">
            <w:pPr>
              <w:rPr>
                <w:highlight w:val="yellow"/>
              </w:rPr>
            </w:pPr>
          </w:p>
        </w:tc>
      </w:tr>
      <w:tr w:rsidR="002F4E0C" w:rsidRPr="00BB54A6" w:rsidTr="002F4E0C">
        <w:trPr>
          <w:trHeight w:val="926"/>
        </w:trPr>
        <w:tc>
          <w:tcPr>
            <w:tcW w:w="3769" w:type="dxa"/>
          </w:tcPr>
          <w:p w:rsidR="002F4E0C" w:rsidRPr="002F4E0C" w:rsidRDefault="002F4E0C" w:rsidP="00F45028">
            <w:pPr>
              <w:rPr>
                <w:color w:val="333132"/>
              </w:rPr>
            </w:pPr>
            <w:r w:rsidRPr="002F4E0C">
              <w:rPr>
                <w:color w:val="333132"/>
              </w:rPr>
              <w:t>All associated documents and emails</w:t>
            </w:r>
          </w:p>
        </w:tc>
        <w:tc>
          <w:tcPr>
            <w:tcW w:w="3430" w:type="dxa"/>
          </w:tcPr>
          <w:p w:rsidR="002F4E0C" w:rsidRPr="002F4E0C" w:rsidRDefault="002F4E0C" w:rsidP="00697747">
            <w:pPr>
              <w:rPr>
                <w:color w:val="333132"/>
              </w:rPr>
            </w:pPr>
            <w:r w:rsidRPr="002F4E0C">
              <w:rPr>
                <w:color w:val="333132"/>
              </w:rPr>
              <w:t>EOG plus 10 years, at annual data cleanse</w:t>
            </w:r>
          </w:p>
        </w:tc>
        <w:tc>
          <w:tcPr>
            <w:tcW w:w="2089" w:type="dxa"/>
          </w:tcPr>
          <w:p w:rsidR="002F4E0C" w:rsidRPr="002F4E0C" w:rsidRDefault="002F4E0C" w:rsidP="00697747">
            <w:pPr>
              <w:rPr>
                <w:highlight w:val="yellow"/>
              </w:rPr>
            </w:pPr>
          </w:p>
        </w:tc>
      </w:tr>
      <w:tr w:rsidR="002F4E0C" w:rsidRPr="00BB54A6" w:rsidTr="002F4E0C">
        <w:trPr>
          <w:trHeight w:val="926"/>
        </w:trPr>
        <w:tc>
          <w:tcPr>
            <w:tcW w:w="3769" w:type="dxa"/>
          </w:tcPr>
          <w:p w:rsidR="002F4E0C" w:rsidRPr="002F4E0C" w:rsidRDefault="002F4E0C" w:rsidP="00F45028">
            <w:pPr>
              <w:rPr>
                <w:color w:val="333132"/>
              </w:rPr>
            </w:pPr>
            <w:r w:rsidRPr="002F4E0C">
              <w:rPr>
                <w:color w:val="333132"/>
              </w:rPr>
              <w:t>Applicant team contact details in application</w:t>
            </w:r>
          </w:p>
        </w:tc>
        <w:tc>
          <w:tcPr>
            <w:tcW w:w="3430" w:type="dxa"/>
          </w:tcPr>
          <w:p w:rsidR="002F4E0C" w:rsidRPr="002F4E0C" w:rsidRDefault="002F4E0C" w:rsidP="00697747">
            <w:pPr>
              <w:rPr>
                <w:color w:val="333132"/>
              </w:rPr>
            </w:pPr>
            <w:r w:rsidRPr="002F4E0C">
              <w:rPr>
                <w:color w:val="333132"/>
              </w:rPr>
              <w:t>EOG plus 10 years, at annual data cleanse</w:t>
            </w:r>
          </w:p>
        </w:tc>
        <w:tc>
          <w:tcPr>
            <w:tcW w:w="2089" w:type="dxa"/>
          </w:tcPr>
          <w:p w:rsidR="002F4E0C" w:rsidRPr="002F4E0C" w:rsidRDefault="002F4E0C" w:rsidP="00697747">
            <w:pPr>
              <w:rPr>
                <w:highlight w:val="yellow"/>
              </w:rPr>
            </w:pPr>
          </w:p>
        </w:tc>
      </w:tr>
      <w:tr w:rsidR="002F4E0C" w:rsidRPr="00BB54A6" w:rsidTr="002F4E0C">
        <w:trPr>
          <w:trHeight w:val="926"/>
        </w:trPr>
        <w:tc>
          <w:tcPr>
            <w:tcW w:w="3769" w:type="dxa"/>
          </w:tcPr>
          <w:p w:rsidR="002F4E0C" w:rsidRPr="002F4E0C" w:rsidRDefault="002F4E0C" w:rsidP="00F45028">
            <w:pPr>
              <w:rPr>
                <w:color w:val="333132"/>
              </w:rPr>
            </w:pPr>
            <w:r w:rsidRPr="002F4E0C">
              <w:rPr>
                <w:color w:val="333132"/>
              </w:rPr>
              <w:t>HRB as partners in EU Projects</w:t>
            </w:r>
          </w:p>
        </w:tc>
        <w:tc>
          <w:tcPr>
            <w:tcW w:w="3430" w:type="dxa"/>
          </w:tcPr>
          <w:p w:rsidR="002F4E0C" w:rsidRPr="002F4E0C" w:rsidRDefault="002F4E0C" w:rsidP="00697747">
            <w:pPr>
              <w:rPr>
                <w:color w:val="333132"/>
              </w:rPr>
            </w:pPr>
            <w:r w:rsidRPr="002F4E0C">
              <w:rPr>
                <w:color w:val="333132"/>
              </w:rPr>
              <w:t>In line with data retention requirements of funder</w:t>
            </w:r>
          </w:p>
        </w:tc>
        <w:tc>
          <w:tcPr>
            <w:tcW w:w="2089" w:type="dxa"/>
          </w:tcPr>
          <w:p w:rsidR="002F4E0C" w:rsidRPr="002F4E0C" w:rsidRDefault="002F4E0C" w:rsidP="00697747">
            <w:pPr>
              <w:rPr>
                <w:highlight w:val="yellow"/>
              </w:rPr>
            </w:pPr>
          </w:p>
        </w:tc>
      </w:tr>
      <w:tr w:rsidR="002F4E0C" w:rsidRPr="00BB54A6" w:rsidTr="002F4E0C">
        <w:trPr>
          <w:trHeight w:val="926"/>
        </w:trPr>
        <w:tc>
          <w:tcPr>
            <w:tcW w:w="3769" w:type="dxa"/>
          </w:tcPr>
          <w:p w:rsidR="002F4E0C" w:rsidRPr="002F4E0C" w:rsidRDefault="002F4E0C" w:rsidP="00F45028">
            <w:pPr>
              <w:rPr>
                <w:color w:val="333132"/>
              </w:rPr>
            </w:pPr>
            <w:r w:rsidRPr="002F4E0C">
              <w:rPr>
                <w:color w:val="333132"/>
              </w:rPr>
              <w:t>Outcome Tracker</w:t>
            </w:r>
          </w:p>
        </w:tc>
        <w:tc>
          <w:tcPr>
            <w:tcW w:w="3430" w:type="dxa"/>
          </w:tcPr>
          <w:tbl>
            <w:tblPr>
              <w:tblW w:w="5000" w:type="pct"/>
              <w:tblCellMar>
                <w:top w:w="15" w:type="dxa"/>
                <w:left w:w="15" w:type="dxa"/>
                <w:bottom w:w="15" w:type="dxa"/>
                <w:right w:w="15" w:type="dxa"/>
              </w:tblCellMar>
              <w:tblLook w:val="04A0" w:firstRow="1" w:lastRow="0" w:firstColumn="1" w:lastColumn="0" w:noHBand="0" w:noVBand="1"/>
            </w:tblPr>
            <w:tblGrid>
              <w:gridCol w:w="6"/>
              <w:gridCol w:w="3302"/>
            </w:tblGrid>
            <w:tr w:rsidR="002F4E0C" w:rsidRPr="002F4E0C" w:rsidTr="002F4E0C">
              <w:tc>
                <w:tcPr>
                  <w:tcW w:w="0" w:type="auto"/>
                  <w:tcBorders>
                    <w:bottom w:val="single" w:sz="6" w:space="0" w:color="C6D1EE"/>
                  </w:tcBorders>
                  <w:shd w:val="clear" w:color="auto" w:fill="auto"/>
                  <w:tcMar>
                    <w:top w:w="0" w:type="dxa"/>
                    <w:left w:w="0" w:type="dxa"/>
                    <w:bottom w:w="0" w:type="dxa"/>
                    <w:right w:w="0" w:type="dxa"/>
                  </w:tcMar>
                  <w:vAlign w:val="center"/>
                  <w:hideMark/>
                </w:tcPr>
                <w:p w:rsidR="002F4E0C" w:rsidRPr="002F4E0C" w:rsidRDefault="002F4E0C" w:rsidP="002F4E0C">
                  <w:pPr>
                    <w:spacing w:after="405" w:line="240" w:lineRule="auto"/>
                    <w:rPr>
                      <w:rFonts w:eastAsia="Times New Roman" w:cs="Times New Roman"/>
                      <w:color w:val="333132"/>
                      <w:lang w:val="en-IE" w:eastAsia="en-IE"/>
                    </w:rPr>
                  </w:pPr>
                </w:p>
              </w:tc>
              <w:tc>
                <w:tcPr>
                  <w:tcW w:w="0" w:type="auto"/>
                  <w:tcBorders>
                    <w:bottom w:val="single" w:sz="6" w:space="0" w:color="C6D1EE"/>
                  </w:tcBorders>
                  <w:shd w:val="clear" w:color="auto" w:fill="auto"/>
                  <w:tcMar>
                    <w:top w:w="0" w:type="dxa"/>
                    <w:left w:w="0" w:type="dxa"/>
                    <w:bottom w:w="0" w:type="dxa"/>
                    <w:right w:w="0" w:type="dxa"/>
                  </w:tcMar>
                  <w:vAlign w:val="center"/>
                  <w:hideMark/>
                </w:tcPr>
                <w:p w:rsidR="002F4E0C" w:rsidRPr="002F4E0C" w:rsidRDefault="002F4E0C" w:rsidP="002F4E0C">
                  <w:pPr>
                    <w:spacing w:after="405" w:line="240" w:lineRule="auto"/>
                    <w:rPr>
                      <w:rFonts w:eastAsia="Times New Roman" w:cs="Times New Roman"/>
                      <w:color w:val="333132"/>
                      <w:lang w:val="en-IE" w:eastAsia="en-IE"/>
                    </w:rPr>
                  </w:pPr>
                  <w:r w:rsidRPr="002F4E0C">
                    <w:rPr>
                      <w:rFonts w:eastAsia="Times New Roman" w:cs="Times New Roman"/>
                      <w:color w:val="333132"/>
                      <w:lang w:val="en-IE" w:eastAsia="en-IE"/>
                    </w:rPr>
                    <w:t xml:space="preserve">EOG plus 10 years, at annual data cleanse </w:t>
                  </w:r>
                </w:p>
              </w:tc>
            </w:tr>
          </w:tbl>
          <w:p w:rsidR="002F4E0C" w:rsidRPr="002F4E0C" w:rsidRDefault="002F4E0C" w:rsidP="00697747">
            <w:pPr>
              <w:rPr>
                <w:color w:val="333132"/>
              </w:rPr>
            </w:pPr>
          </w:p>
        </w:tc>
        <w:tc>
          <w:tcPr>
            <w:tcW w:w="2089" w:type="dxa"/>
          </w:tcPr>
          <w:p w:rsidR="002F4E0C" w:rsidRPr="002F4E0C" w:rsidRDefault="002F4E0C" w:rsidP="00697747">
            <w:pPr>
              <w:rPr>
                <w:highlight w:val="yellow"/>
              </w:rPr>
            </w:pPr>
          </w:p>
        </w:tc>
      </w:tr>
      <w:tr w:rsidR="002F4E0C" w:rsidRPr="00BB54A6" w:rsidTr="002F4E0C">
        <w:trPr>
          <w:trHeight w:val="926"/>
        </w:trPr>
        <w:tc>
          <w:tcPr>
            <w:tcW w:w="3769" w:type="dxa"/>
          </w:tcPr>
          <w:p w:rsidR="002F4E0C" w:rsidRPr="002F4E0C" w:rsidRDefault="002F4E0C" w:rsidP="00F45028">
            <w:pPr>
              <w:rPr>
                <w:color w:val="333132"/>
              </w:rPr>
            </w:pPr>
            <w:r w:rsidRPr="002F4E0C">
              <w:rPr>
                <w:color w:val="333132"/>
              </w:rPr>
              <w:t>Public reviewer database</w:t>
            </w:r>
          </w:p>
        </w:tc>
        <w:tc>
          <w:tcPr>
            <w:tcW w:w="3430" w:type="dxa"/>
          </w:tcPr>
          <w:p w:rsidR="002F4E0C" w:rsidRPr="002F4E0C" w:rsidRDefault="002F4E0C" w:rsidP="00697747">
            <w:pPr>
              <w:rPr>
                <w:color w:val="333132"/>
              </w:rPr>
            </w:pPr>
            <w:r w:rsidRPr="002F4E0C">
              <w:rPr>
                <w:color w:val="333132"/>
              </w:rPr>
              <w:t>In every email include opt out possibility</w:t>
            </w:r>
          </w:p>
        </w:tc>
        <w:tc>
          <w:tcPr>
            <w:tcW w:w="2089" w:type="dxa"/>
          </w:tcPr>
          <w:p w:rsidR="002F4E0C" w:rsidRPr="002F4E0C" w:rsidRDefault="002F4E0C" w:rsidP="00697747">
            <w:pPr>
              <w:rPr>
                <w:highlight w:val="yellow"/>
              </w:rPr>
            </w:pPr>
            <w:r w:rsidRPr="002F4E0C">
              <w:rPr>
                <w:color w:val="333132"/>
              </w:rPr>
              <w:t>Consent</w:t>
            </w:r>
          </w:p>
        </w:tc>
      </w:tr>
    </w:tbl>
    <w:p w:rsidR="00F45028" w:rsidRDefault="00F45028" w:rsidP="005D6022"/>
    <w:p w:rsidR="00697747" w:rsidRDefault="00697747">
      <w:pPr>
        <w:spacing w:line="240" w:lineRule="auto"/>
      </w:pPr>
      <w:r>
        <w:lastRenderedPageBreak/>
        <w:br w:type="page"/>
      </w:r>
    </w:p>
    <w:p w:rsidR="005D6022" w:rsidRDefault="005D6022" w:rsidP="00BB54A6">
      <w:pPr>
        <w:pStyle w:val="Heading3"/>
      </w:pPr>
      <w:bookmarkStart w:id="22" w:name="_Toc514426066"/>
      <w:r>
        <w:lastRenderedPageBreak/>
        <w:t>CCTV</w:t>
      </w:r>
      <w:bookmarkEnd w:id="22"/>
      <w:r>
        <w:t xml:space="preserve"> </w:t>
      </w:r>
    </w:p>
    <w:p w:rsidR="00BB54A6" w:rsidRDefault="00BB54A6" w:rsidP="005D6022"/>
    <w:tbl>
      <w:tblPr>
        <w:tblStyle w:val="TableGrid"/>
        <w:tblW w:w="9209" w:type="dxa"/>
        <w:tblLook w:val="04A0" w:firstRow="1" w:lastRow="0" w:firstColumn="1" w:lastColumn="0" w:noHBand="0" w:noVBand="1"/>
      </w:tblPr>
      <w:tblGrid>
        <w:gridCol w:w="3101"/>
        <w:gridCol w:w="2825"/>
        <w:gridCol w:w="1721"/>
        <w:gridCol w:w="1562"/>
      </w:tblGrid>
      <w:tr w:rsidR="00F45028" w:rsidRPr="00BB54A6" w:rsidTr="00697747">
        <w:tc>
          <w:tcPr>
            <w:tcW w:w="3114" w:type="dxa"/>
            <w:shd w:val="clear" w:color="auto" w:fill="DBE5F1" w:themeFill="accent1" w:themeFillTint="33"/>
          </w:tcPr>
          <w:p w:rsidR="00F45028" w:rsidRPr="00BB54A6" w:rsidRDefault="00F45028" w:rsidP="002F4E0C">
            <w:pPr>
              <w:pStyle w:val="Heading4"/>
              <w:rPr>
                <w:rFonts w:eastAsia="Times New Roman"/>
              </w:rPr>
            </w:pPr>
            <w:r w:rsidRPr="00BB54A6">
              <w:rPr>
                <w:rFonts w:eastAsia="Times New Roman"/>
              </w:rPr>
              <w:t>Record</w:t>
            </w:r>
          </w:p>
        </w:tc>
        <w:tc>
          <w:tcPr>
            <w:tcW w:w="2835" w:type="dxa"/>
            <w:shd w:val="clear" w:color="auto" w:fill="DBE5F1" w:themeFill="accent1" w:themeFillTint="33"/>
          </w:tcPr>
          <w:p w:rsidR="00F45028" w:rsidRPr="00BB54A6" w:rsidRDefault="00F45028" w:rsidP="002F4E0C">
            <w:pPr>
              <w:pStyle w:val="Heading4"/>
              <w:rPr>
                <w:rFonts w:eastAsia="Times New Roman"/>
              </w:rPr>
            </w:pPr>
            <w:r w:rsidRPr="00BB54A6">
              <w:rPr>
                <w:rFonts w:eastAsia="Times New Roman"/>
              </w:rPr>
              <w:t>Retention Period</w:t>
            </w:r>
          </w:p>
        </w:tc>
        <w:tc>
          <w:tcPr>
            <w:tcW w:w="1701" w:type="dxa"/>
            <w:shd w:val="clear" w:color="auto" w:fill="DBE5F1" w:themeFill="accent1" w:themeFillTint="33"/>
          </w:tcPr>
          <w:p w:rsidR="00F45028" w:rsidRPr="00BB54A6" w:rsidRDefault="00F45028" w:rsidP="002F4E0C">
            <w:pPr>
              <w:pStyle w:val="Heading4"/>
              <w:rPr>
                <w:rFonts w:eastAsia="Times New Roman"/>
              </w:rPr>
            </w:pPr>
            <w:r w:rsidRPr="00BB54A6">
              <w:rPr>
                <w:rFonts w:eastAsia="Times New Roman"/>
              </w:rPr>
              <w:t>Justification for time frame</w:t>
            </w:r>
          </w:p>
        </w:tc>
        <w:tc>
          <w:tcPr>
            <w:tcW w:w="1559" w:type="dxa"/>
            <w:shd w:val="clear" w:color="auto" w:fill="DBE5F1" w:themeFill="accent1" w:themeFillTint="33"/>
          </w:tcPr>
          <w:p w:rsidR="00F45028" w:rsidRPr="00BB54A6" w:rsidRDefault="00F45028" w:rsidP="002F4E0C">
            <w:pPr>
              <w:pStyle w:val="Heading4"/>
              <w:rPr>
                <w:rFonts w:eastAsia="Times New Roman"/>
              </w:rPr>
            </w:pPr>
            <w:r w:rsidRPr="00BB54A6">
              <w:rPr>
                <w:rFonts w:eastAsia="Times New Roman"/>
              </w:rPr>
              <w:t xml:space="preserve">Legal basis for processing </w:t>
            </w:r>
          </w:p>
        </w:tc>
      </w:tr>
      <w:tr w:rsidR="00F45028" w:rsidRPr="00BB54A6" w:rsidTr="00697747">
        <w:tc>
          <w:tcPr>
            <w:tcW w:w="3114" w:type="dxa"/>
          </w:tcPr>
          <w:p w:rsidR="00F45028" w:rsidRPr="00BB54A6" w:rsidRDefault="00F45028" w:rsidP="00697747">
            <w:r>
              <w:t>CCTV recordings</w:t>
            </w:r>
          </w:p>
        </w:tc>
        <w:tc>
          <w:tcPr>
            <w:tcW w:w="2835" w:type="dxa"/>
          </w:tcPr>
          <w:p w:rsidR="00F45028" w:rsidRPr="00BB54A6" w:rsidRDefault="00F45028" w:rsidP="00697747">
            <w:r>
              <w:t>30 days</w:t>
            </w:r>
          </w:p>
        </w:tc>
        <w:tc>
          <w:tcPr>
            <w:tcW w:w="1701" w:type="dxa"/>
          </w:tcPr>
          <w:p w:rsidR="00F45028" w:rsidRPr="00BB54A6" w:rsidRDefault="00F45028" w:rsidP="00697747">
            <w:pPr>
              <w:rPr>
                <w:highlight w:val="yellow"/>
              </w:rPr>
            </w:pPr>
            <w:r>
              <w:t>Security purposes</w:t>
            </w:r>
          </w:p>
        </w:tc>
        <w:tc>
          <w:tcPr>
            <w:tcW w:w="1559" w:type="dxa"/>
          </w:tcPr>
          <w:p w:rsidR="00F45028" w:rsidRPr="00BB54A6" w:rsidRDefault="00F45028" w:rsidP="00697747">
            <w:pPr>
              <w:rPr>
                <w:highlight w:val="yellow"/>
              </w:rPr>
            </w:pPr>
          </w:p>
        </w:tc>
      </w:tr>
    </w:tbl>
    <w:p w:rsidR="00F45028" w:rsidRDefault="00F45028" w:rsidP="005D6022"/>
    <w:p w:rsidR="00F45028" w:rsidRDefault="00F45028" w:rsidP="005D6022"/>
    <w:p w:rsidR="00697747" w:rsidRDefault="00697747">
      <w:pPr>
        <w:spacing w:line="240" w:lineRule="auto"/>
        <w:rPr>
          <w:rFonts w:asciiTheme="majorHAnsi" w:eastAsiaTheme="majorEastAsia" w:hAnsiTheme="majorHAnsi" w:cstheme="majorBidi"/>
          <w:b/>
          <w:bCs/>
          <w:color w:val="4F81BD" w:themeColor="accent1"/>
          <w:sz w:val="26"/>
          <w:lang w:val="en-IE"/>
        </w:rPr>
      </w:pPr>
      <w:r>
        <w:br w:type="page"/>
      </w:r>
    </w:p>
    <w:p w:rsidR="005D6022" w:rsidRDefault="005D6022" w:rsidP="00BB54A6">
      <w:pPr>
        <w:pStyle w:val="Heading3"/>
      </w:pPr>
      <w:bookmarkStart w:id="23" w:name="_Toc514426067"/>
      <w:r>
        <w:lastRenderedPageBreak/>
        <w:t>Databases held in HRB with data supplied by HSE-funded service providers</w:t>
      </w:r>
      <w:bookmarkEnd w:id="23"/>
    </w:p>
    <w:p w:rsidR="00BB54A6" w:rsidRDefault="00BB54A6" w:rsidP="005D6022"/>
    <w:tbl>
      <w:tblPr>
        <w:tblStyle w:val="TableGrid"/>
        <w:tblW w:w="9209" w:type="dxa"/>
        <w:tblLook w:val="04A0" w:firstRow="1" w:lastRow="0" w:firstColumn="1" w:lastColumn="0" w:noHBand="0" w:noVBand="1"/>
      </w:tblPr>
      <w:tblGrid>
        <w:gridCol w:w="3101"/>
        <w:gridCol w:w="2825"/>
        <w:gridCol w:w="1721"/>
        <w:gridCol w:w="1562"/>
      </w:tblGrid>
      <w:tr w:rsidR="002F6305" w:rsidRPr="00BB54A6" w:rsidTr="00697747">
        <w:tc>
          <w:tcPr>
            <w:tcW w:w="3114" w:type="dxa"/>
            <w:shd w:val="clear" w:color="auto" w:fill="DBE5F1" w:themeFill="accent1" w:themeFillTint="33"/>
          </w:tcPr>
          <w:p w:rsidR="002F6305" w:rsidRPr="00BB54A6" w:rsidRDefault="002F6305" w:rsidP="002F4E0C">
            <w:pPr>
              <w:pStyle w:val="Heading4"/>
              <w:rPr>
                <w:rFonts w:eastAsia="Times New Roman"/>
              </w:rPr>
            </w:pPr>
            <w:r w:rsidRPr="00BB54A6">
              <w:rPr>
                <w:rFonts w:eastAsia="Times New Roman"/>
              </w:rPr>
              <w:t>Record</w:t>
            </w:r>
          </w:p>
        </w:tc>
        <w:tc>
          <w:tcPr>
            <w:tcW w:w="2835" w:type="dxa"/>
            <w:shd w:val="clear" w:color="auto" w:fill="DBE5F1" w:themeFill="accent1" w:themeFillTint="33"/>
          </w:tcPr>
          <w:p w:rsidR="002F6305" w:rsidRPr="00BB54A6" w:rsidRDefault="002F6305" w:rsidP="002F4E0C">
            <w:pPr>
              <w:pStyle w:val="Heading4"/>
              <w:rPr>
                <w:rFonts w:eastAsia="Times New Roman"/>
              </w:rPr>
            </w:pPr>
            <w:r w:rsidRPr="00BB54A6">
              <w:rPr>
                <w:rFonts w:eastAsia="Times New Roman"/>
              </w:rPr>
              <w:t>Retention Period</w:t>
            </w:r>
          </w:p>
        </w:tc>
        <w:tc>
          <w:tcPr>
            <w:tcW w:w="1701" w:type="dxa"/>
            <w:shd w:val="clear" w:color="auto" w:fill="DBE5F1" w:themeFill="accent1" w:themeFillTint="33"/>
          </w:tcPr>
          <w:p w:rsidR="002F6305" w:rsidRPr="00BB54A6" w:rsidRDefault="002F6305" w:rsidP="002F4E0C">
            <w:pPr>
              <w:pStyle w:val="Heading4"/>
              <w:rPr>
                <w:rFonts w:eastAsia="Times New Roman"/>
              </w:rPr>
            </w:pPr>
            <w:r w:rsidRPr="00BB54A6">
              <w:rPr>
                <w:rFonts w:eastAsia="Times New Roman"/>
              </w:rPr>
              <w:t>Justification for time frame</w:t>
            </w:r>
          </w:p>
        </w:tc>
        <w:tc>
          <w:tcPr>
            <w:tcW w:w="1559" w:type="dxa"/>
            <w:shd w:val="clear" w:color="auto" w:fill="DBE5F1" w:themeFill="accent1" w:themeFillTint="33"/>
          </w:tcPr>
          <w:p w:rsidR="002F6305" w:rsidRPr="00BB54A6" w:rsidRDefault="002F6305" w:rsidP="002F4E0C">
            <w:pPr>
              <w:pStyle w:val="Heading4"/>
              <w:rPr>
                <w:rFonts w:eastAsia="Times New Roman"/>
              </w:rPr>
            </w:pPr>
            <w:r w:rsidRPr="00BB54A6">
              <w:rPr>
                <w:rFonts w:eastAsia="Times New Roman"/>
              </w:rPr>
              <w:t xml:space="preserve">Legal basis for processing </w:t>
            </w:r>
          </w:p>
        </w:tc>
      </w:tr>
      <w:tr w:rsidR="002F6305" w:rsidRPr="00BB54A6" w:rsidTr="00697747">
        <w:tc>
          <w:tcPr>
            <w:tcW w:w="3114" w:type="dxa"/>
          </w:tcPr>
          <w:p w:rsidR="002F6305" w:rsidRPr="00BB54A6" w:rsidRDefault="002F6305" w:rsidP="00697747">
            <w:r>
              <w:t>Personal data and sensitive personal data relating to disability service use and need. From NIDD database.</w:t>
            </w:r>
          </w:p>
        </w:tc>
        <w:tc>
          <w:tcPr>
            <w:tcW w:w="2835" w:type="dxa"/>
          </w:tcPr>
          <w:p w:rsidR="002F6305" w:rsidRPr="00BB54A6" w:rsidRDefault="002F6305" w:rsidP="00697747">
            <w:r>
              <w:t>8 years</w:t>
            </w:r>
          </w:p>
        </w:tc>
        <w:tc>
          <w:tcPr>
            <w:tcW w:w="1701" w:type="dxa"/>
          </w:tcPr>
          <w:p w:rsidR="002F6305" w:rsidRPr="00BB54A6" w:rsidRDefault="002F6305" w:rsidP="00697747">
            <w:pPr>
              <w:rPr>
                <w:highlight w:val="yellow"/>
              </w:rPr>
            </w:pPr>
            <w:r>
              <w:t>As per HCR23 of HSE’s Health Service Record Retention Policy, 2013</w:t>
            </w:r>
          </w:p>
        </w:tc>
        <w:tc>
          <w:tcPr>
            <w:tcW w:w="1559" w:type="dxa"/>
          </w:tcPr>
          <w:p w:rsidR="002F6305" w:rsidRPr="00BB54A6" w:rsidRDefault="002F6305" w:rsidP="00697747">
            <w:pPr>
              <w:rPr>
                <w:highlight w:val="yellow"/>
              </w:rPr>
            </w:pPr>
            <w:r>
              <w:t>Statutory function</w:t>
            </w:r>
          </w:p>
        </w:tc>
      </w:tr>
      <w:tr w:rsidR="002F6305" w:rsidRPr="00BB54A6" w:rsidTr="00697747">
        <w:tc>
          <w:tcPr>
            <w:tcW w:w="3114" w:type="dxa"/>
          </w:tcPr>
          <w:p w:rsidR="002F6305" w:rsidRPr="00BB54A6" w:rsidRDefault="002F6305" w:rsidP="00697747">
            <w:r>
              <w:t>Personal data and sensitive personal data relating to disability service use and need. From NPSDD database.</w:t>
            </w:r>
          </w:p>
        </w:tc>
        <w:tc>
          <w:tcPr>
            <w:tcW w:w="2835" w:type="dxa"/>
          </w:tcPr>
          <w:p w:rsidR="002F6305" w:rsidRPr="00BB54A6" w:rsidRDefault="002F6305" w:rsidP="00697747">
            <w:r>
              <w:t>8 years</w:t>
            </w:r>
          </w:p>
        </w:tc>
        <w:tc>
          <w:tcPr>
            <w:tcW w:w="1701" w:type="dxa"/>
          </w:tcPr>
          <w:p w:rsidR="002F6305" w:rsidRPr="00BB54A6" w:rsidRDefault="002F6305" w:rsidP="00697747">
            <w:pPr>
              <w:rPr>
                <w:highlight w:val="yellow"/>
              </w:rPr>
            </w:pPr>
            <w:r>
              <w:t>As per HCR23 of HSE’s Health Service Record Retention Policy, 2013</w:t>
            </w:r>
          </w:p>
        </w:tc>
        <w:tc>
          <w:tcPr>
            <w:tcW w:w="1559" w:type="dxa"/>
          </w:tcPr>
          <w:p w:rsidR="002F6305" w:rsidRPr="00BB54A6" w:rsidRDefault="002F6305" w:rsidP="00697747">
            <w:pPr>
              <w:rPr>
                <w:highlight w:val="yellow"/>
              </w:rPr>
            </w:pPr>
            <w:r>
              <w:t>Statutory function</w:t>
            </w:r>
          </w:p>
        </w:tc>
      </w:tr>
      <w:tr w:rsidR="002F6305" w:rsidRPr="00BB54A6" w:rsidTr="00697747">
        <w:tc>
          <w:tcPr>
            <w:tcW w:w="3114" w:type="dxa"/>
          </w:tcPr>
          <w:p w:rsidR="002F6305" w:rsidRPr="00BB54A6" w:rsidRDefault="002F6305" w:rsidP="00697747">
            <w:r>
              <w:t>Personal data and sensitive personal data relating to disability service use and need. From NASS database (2018 onwards)</w:t>
            </w:r>
          </w:p>
        </w:tc>
        <w:tc>
          <w:tcPr>
            <w:tcW w:w="2835" w:type="dxa"/>
          </w:tcPr>
          <w:p w:rsidR="002F6305" w:rsidRPr="00BB54A6" w:rsidRDefault="002F6305" w:rsidP="00697747">
            <w:r>
              <w:t>8 years</w:t>
            </w:r>
          </w:p>
        </w:tc>
        <w:tc>
          <w:tcPr>
            <w:tcW w:w="1701" w:type="dxa"/>
          </w:tcPr>
          <w:p w:rsidR="002F6305" w:rsidRPr="00BB54A6" w:rsidRDefault="002F6305" w:rsidP="00697747">
            <w:pPr>
              <w:rPr>
                <w:highlight w:val="yellow"/>
              </w:rPr>
            </w:pPr>
            <w:r>
              <w:t>As per HCR23 of HSE’s Health Service Record Retention Policy, 2013</w:t>
            </w:r>
          </w:p>
        </w:tc>
        <w:tc>
          <w:tcPr>
            <w:tcW w:w="1559" w:type="dxa"/>
          </w:tcPr>
          <w:p w:rsidR="002F6305" w:rsidRPr="00BB54A6" w:rsidRDefault="002F6305" w:rsidP="00697747">
            <w:pPr>
              <w:rPr>
                <w:highlight w:val="yellow"/>
              </w:rPr>
            </w:pPr>
            <w:r>
              <w:t>Statutory function</w:t>
            </w:r>
          </w:p>
        </w:tc>
      </w:tr>
      <w:tr w:rsidR="002F6305" w:rsidRPr="00BB54A6" w:rsidTr="00697747">
        <w:tc>
          <w:tcPr>
            <w:tcW w:w="3114" w:type="dxa"/>
          </w:tcPr>
          <w:p w:rsidR="002F6305" w:rsidRPr="00BB54A6" w:rsidRDefault="002F6305" w:rsidP="00697747">
            <w:r>
              <w:t>Personal data and sensitive personal data relating to drug treatment episodes. (NDTRS or LINKS database)</w:t>
            </w:r>
          </w:p>
        </w:tc>
        <w:tc>
          <w:tcPr>
            <w:tcW w:w="2835" w:type="dxa"/>
          </w:tcPr>
          <w:p w:rsidR="002F6305" w:rsidRPr="00BB54A6" w:rsidRDefault="002F6305" w:rsidP="00697747">
            <w:r>
              <w:t>8 years</w:t>
            </w:r>
          </w:p>
        </w:tc>
        <w:tc>
          <w:tcPr>
            <w:tcW w:w="1701" w:type="dxa"/>
          </w:tcPr>
          <w:p w:rsidR="002F6305" w:rsidRPr="00BB54A6" w:rsidRDefault="002F6305" w:rsidP="00697747">
            <w:r>
              <w:t>As per HCR23 of HSE’s Health Service Record Retention Policy, 2013</w:t>
            </w:r>
          </w:p>
        </w:tc>
        <w:tc>
          <w:tcPr>
            <w:tcW w:w="1559" w:type="dxa"/>
          </w:tcPr>
          <w:p w:rsidR="002F6305" w:rsidRPr="00BB54A6" w:rsidRDefault="002F6305" w:rsidP="00697747">
            <w:r>
              <w:t>Statutory function</w:t>
            </w:r>
          </w:p>
        </w:tc>
      </w:tr>
      <w:tr w:rsidR="002F6305" w:rsidRPr="00BB54A6" w:rsidTr="00697747">
        <w:tc>
          <w:tcPr>
            <w:tcW w:w="3114" w:type="dxa"/>
          </w:tcPr>
          <w:p w:rsidR="002F6305" w:rsidRPr="00BB54A6" w:rsidRDefault="002F6305" w:rsidP="00697747">
            <w:r>
              <w:t>Personal data and sensitive personal data relating to psychiatric in-patients held on database (NPIRS or LINK database)</w:t>
            </w:r>
          </w:p>
        </w:tc>
        <w:tc>
          <w:tcPr>
            <w:tcW w:w="2835" w:type="dxa"/>
          </w:tcPr>
          <w:p w:rsidR="002F6305" w:rsidRPr="00BB54A6" w:rsidRDefault="002F6305" w:rsidP="00697747">
            <w:r>
              <w:t>20 years after date of last contact with service user or 8 years after the death of the service user if sooner</w:t>
            </w:r>
          </w:p>
        </w:tc>
        <w:tc>
          <w:tcPr>
            <w:tcW w:w="1701" w:type="dxa"/>
          </w:tcPr>
          <w:p w:rsidR="002F6305" w:rsidRPr="00BB54A6" w:rsidRDefault="002F6305" w:rsidP="00697747">
            <w:r>
              <w:t>As per HCR23 of HSE’s Health Service Record Retention Policy, 2013</w:t>
            </w:r>
          </w:p>
        </w:tc>
        <w:tc>
          <w:tcPr>
            <w:tcW w:w="1559" w:type="dxa"/>
          </w:tcPr>
          <w:p w:rsidR="002F6305" w:rsidRPr="00BB54A6" w:rsidRDefault="002F6305" w:rsidP="00697747">
            <w:r>
              <w:t>Statutory function</w:t>
            </w:r>
          </w:p>
        </w:tc>
      </w:tr>
      <w:tr w:rsidR="002F6305" w:rsidRPr="00BB54A6" w:rsidTr="00697747">
        <w:tc>
          <w:tcPr>
            <w:tcW w:w="3114" w:type="dxa"/>
          </w:tcPr>
          <w:p w:rsidR="002F6305" w:rsidRPr="00BB54A6" w:rsidRDefault="003E134D" w:rsidP="00697747">
            <w:r>
              <w:t>Data relating to service providers including name and contact details of staff</w:t>
            </w:r>
          </w:p>
        </w:tc>
        <w:tc>
          <w:tcPr>
            <w:tcW w:w="2835" w:type="dxa"/>
          </w:tcPr>
          <w:p w:rsidR="002F6305" w:rsidRPr="00BB54A6" w:rsidRDefault="002F6305" w:rsidP="00697747">
            <w:r>
              <w:t>2 years from conclusion of relationship</w:t>
            </w:r>
          </w:p>
        </w:tc>
        <w:tc>
          <w:tcPr>
            <w:tcW w:w="1701" w:type="dxa"/>
          </w:tcPr>
          <w:p w:rsidR="002F6305" w:rsidRPr="00BB54A6" w:rsidRDefault="003E134D" w:rsidP="00697747">
            <w:r>
              <w:t>Proper management of information</w:t>
            </w:r>
          </w:p>
        </w:tc>
        <w:tc>
          <w:tcPr>
            <w:tcW w:w="1559" w:type="dxa"/>
          </w:tcPr>
          <w:p w:rsidR="002F6305" w:rsidRPr="00BB54A6" w:rsidRDefault="002F6305" w:rsidP="00697747"/>
        </w:tc>
      </w:tr>
    </w:tbl>
    <w:p w:rsidR="00F45028" w:rsidRDefault="00F45028" w:rsidP="005D6022"/>
    <w:p w:rsidR="005D6022" w:rsidRDefault="005D6022" w:rsidP="005D6022"/>
    <w:p w:rsidR="005D6022" w:rsidRDefault="005D6022" w:rsidP="00BB54A6">
      <w:pPr>
        <w:pStyle w:val="Heading3"/>
      </w:pPr>
      <w:bookmarkStart w:id="24" w:name="_Toc514426068"/>
      <w:r>
        <w:t>Accounting and Finance</w:t>
      </w:r>
      <w:bookmarkEnd w:id="24"/>
      <w:r>
        <w:t xml:space="preserve"> </w:t>
      </w:r>
    </w:p>
    <w:p w:rsidR="00007732" w:rsidRDefault="00007732" w:rsidP="005D6022"/>
    <w:tbl>
      <w:tblPr>
        <w:tblStyle w:val="TableGrid"/>
        <w:tblW w:w="9209" w:type="dxa"/>
        <w:tblLook w:val="04A0" w:firstRow="1" w:lastRow="0" w:firstColumn="1" w:lastColumn="0" w:noHBand="0" w:noVBand="1"/>
      </w:tblPr>
      <w:tblGrid>
        <w:gridCol w:w="3102"/>
        <w:gridCol w:w="2824"/>
        <w:gridCol w:w="1721"/>
        <w:gridCol w:w="1562"/>
      </w:tblGrid>
      <w:tr w:rsidR="00007732" w:rsidRPr="00BB54A6" w:rsidTr="00697747">
        <w:tc>
          <w:tcPr>
            <w:tcW w:w="3114" w:type="dxa"/>
            <w:shd w:val="clear" w:color="auto" w:fill="DBE5F1" w:themeFill="accent1" w:themeFillTint="33"/>
          </w:tcPr>
          <w:p w:rsidR="00007732" w:rsidRPr="00BB54A6" w:rsidRDefault="00007732" w:rsidP="002F4E0C">
            <w:pPr>
              <w:pStyle w:val="Heading4"/>
              <w:rPr>
                <w:rFonts w:eastAsia="Times New Roman"/>
              </w:rPr>
            </w:pPr>
            <w:r w:rsidRPr="00BB54A6">
              <w:rPr>
                <w:rFonts w:eastAsia="Times New Roman"/>
              </w:rPr>
              <w:t>Record</w:t>
            </w:r>
          </w:p>
        </w:tc>
        <w:tc>
          <w:tcPr>
            <w:tcW w:w="2835" w:type="dxa"/>
            <w:shd w:val="clear" w:color="auto" w:fill="DBE5F1" w:themeFill="accent1" w:themeFillTint="33"/>
          </w:tcPr>
          <w:p w:rsidR="00007732" w:rsidRPr="00BB54A6" w:rsidRDefault="00007732" w:rsidP="002F4E0C">
            <w:pPr>
              <w:pStyle w:val="Heading4"/>
              <w:rPr>
                <w:rFonts w:eastAsia="Times New Roman"/>
              </w:rPr>
            </w:pPr>
            <w:r w:rsidRPr="00BB54A6">
              <w:rPr>
                <w:rFonts w:eastAsia="Times New Roman"/>
              </w:rPr>
              <w:t>Retention Period</w:t>
            </w:r>
          </w:p>
        </w:tc>
        <w:tc>
          <w:tcPr>
            <w:tcW w:w="1701" w:type="dxa"/>
            <w:shd w:val="clear" w:color="auto" w:fill="DBE5F1" w:themeFill="accent1" w:themeFillTint="33"/>
          </w:tcPr>
          <w:p w:rsidR="00007732" w:rsidRPr="00BB54A6" w:rsidRDefault="00007732" w:rsidP="002F4E0C">
            <w:pPr>
              <w:pStyle w:val="Heading4"/>
              <w:rPr>
                <w:rFonts w:eastAsia="Times New Roman"/>
              </w:rPr>
            </w:pPr>
            <w:r w:rsidRPr="00BB54A6">
              <w:rPr>
                <w:rFonts w:eastAsia="Times New Roman"/>
              </w:rPr>
              <w:t>Justification for time frame</w:t>
            </w:r>
          </w:p>
        </w:tc>
        <w:tc>
          <w:tcPr>
            <w:tcW w:w="1559" w:type="dxa"/>
            <w:shd w:val="clear" w:color="auto" w:fill="DBE5F1" w:themeFill="accent1" w:themeFillTint="33"/>
          </w:tcPr>
          <w:p w:rsidR="00007732" w:rsidRPr="00BB54A6" w:rsidRDefault="00007732" w:rsidP="002F4E0C">
            <w:pPr>
              <w:pStyle w:val="Heading4"/>
              <w:rPr>
                <w:rFonts w:eastAsia="Times New Roman"/>
              </w:rPr>
            </w:pPr>
            <w:r w:rsidRPr="00BB54A6">
              <w:rPr>
                <w:rFonts w:eastAsia="Times New Roman"/>
              </w:rPr>
              <w:t xml:space="preserve">Legal basis for processing </w:t>
            </w:r>
          </w:p>
        </w:tc>
      </w:tr>
      <w:tr w:rsidR="00007732" w:rsidRPr="00BB54A6" w:rsidTr="00697747">
        <w:tc>
          <w:tcPr>
            <w:tcW w:w="3114" w:type="dxa"/>
          </w:tcPr>
          <w:p w:rsidR="00007732" w:rsidRPr="00BB54A6" w:rsidRDefault="00007732" w:rsidP="00697747">
            <w:r>
              <w:t>Accounts Payable and Receivables ledgers and schedules</w:t>
            </w:r>
          </w:p>
        </w:tc>
        <w:tc>
          <w:tcPr>
            <w:tcW w:w="2835" w:type="dxa"/>
          </w:tcPr>
          <w:p w:rsidR="00007732" w:rsidRPr="00BB54A6" w:rsidRDefault="00007732" w:rsidP="00697747">
            <w:r>
              <w:t>7 years</w:t>
            </w:r>
          </w:p>
        </w:tc>
        <w:tc>
          <w:tcPr>
            <w:tcW w:w="1701" w:type="dxa"/>
          </w:tcPr>
          <w:p w:rsidR="00007732" w:rsidRPr="00BB54A6" w:rsidRDefault="00007732" w:rsidP="00697747">
            <w:pPr>
              <w:rPr>
                <w:highlight w:val="yellow"/>
              </w:rPr>
            </w:pPr>
            <w:r>
              <w:t>Revenue Requirements</w:t>
            </w:r>
          </w:p>
        </w:tc>
        <w:tc>
          <w:tcPr>
            <w:tcW w:w="1559" w:type="dxa"/>
          </w:tcPr>
          <w:p w:rsidR="00007732" w:rsidRPr="00BB54A6" w:rsidRDefault="00007732" w:rsidP="00697747">
            <w:pPr>
              <w:rPr>
                <w:highlight w:val="yellow"/>
              </w:rPr>
            </w:pPr>
          </w:p>
        </w:tc>
      </w:tr>
      <w:tr w:rsidR="00007732" w:rsidRPr="00BB54A6" w:rsidTr="00697747">
        <w:tc>
          <w:tcPr>
            <w:tcW w:w="3114" w:type="dxa"/>
          </w:tcPr>
          <w:p w:rsidR="00007732" w:rsidRPr="00BB54A6" w:rsidRDefault="00007732" w:rsidP="00697747">
            <w:r>
              <w:t>Annual audit reports and financial statements</w:t>
            </w:r>
          </w:p>
        </w:tc>
        <w:tc>
          <w:tcPr>
            <w:tcW w:w="2835" w:type="dxa"/>
          </w:tcPr>
          <w:p w:rsidR="00007732" w:rsidRPr="00BB54A6" w:rsidRDefault="00007732" w:rsidP="00697747">
            <w:r>
              <w:t>Permanent</w:t>
            </w:r>
          </w:p>
        </w:tc>
        <w:tc>
          <w:tcPr>
            <w:tcW w:w="1701" w:type="dxa"/>
          </w:tcPr>
          <w:p w:rsidR="00007732" w:rsidRPr="00BB54A6" w:rsidRDefault="00007732" w:rsidP="00697747">
            <w:pPr>
              <w:rPr>
                <w:highlight w:val="yellow"/>
              </w:rPr>
            </w:pPr>
          </w:p>
        </w:tc>
        <w:tc>
          <w:tcPr>
            <w:tcW w:w="1559" w:type="dxa"/>
          </w:tcPr>
          <w:p w:rsidR="00007732" w:rsidRPr="00BB54A6" w:rsidRDefault="00007732" w:rsidP="00697747">
            <w:pPr>
              <w:rPr>
                <w:highlight w:val="yellow"/>
              </w:rPr>
            </w:pPr>
          </w:p>
        </w:tc>
      </w:tr>
      <w:tr w:rsidR="00007732" w:rsidRPr="00BB54A6" w:rsidTr="00697747">
        <w:tc>
          <w:tcPr>
            <w:tcW w:w="3114" w:type="dxa"/>
          </w:tcPr>
          <w:p w:rsidR="00007732" w:rsidRPr="00BB54A6" w:rsidRDefault="00007732" w:rsidP="00697747">
            <w:r>
              <w:t>Annual plans and budgets</w:t>
            </w:r>
          </w:p>
        </w:tc>
        <w:tc>
          <w:tcPr>
            <w:tcW w:w="2835" w:type="dxa"/>
          </w:tcPr>
          <w:p w:rsidR="00007732" w:rsidRPr="00BB54A6" w:rsidRDefault="00007732" w:rsidP="00697747">
            <w:r>
              <w:t>2 years</w:t>
            </w:r>
          </w:p>
        </w:tc>
        <w:tc>
          <w:tcPr>
            <w:tcW w:w="1701" w:type="dxa"/>
          </w:tcPr>
          <w:p w:rsidR="00007732" w:rsidRPr="00BB54A6" w:rsidRDefault="00007732" w:rsidP="00697747">
            <w:pPr>
              <w:rPr>
                <w:highlight w:val="yellow"/>
              </w:rPr>
            </w:pPr>
          </w:p>
        </w:tc>
        <w:tc>
          <w:tcPr>
            <w:tcW w:w="1559" w:type="dxa"/>
          </w:tcPr>
          <w:p w:rsidR="00007732" w:rsidRPr="00BB54A6" w:rsidRDefault="00007732" w:rsidP="00697747">
            <w:pPr>
              <w:rPr>
                <w:highlight w:val="yellow"/>
              </w:rPr>
            </w:pPr>
          </w:p>
        </w:tc>
      </w:tr>
      <w:tr w:rsidR="00007732" w:rsidRPr="00BB54A6" w:rsidTr="00697747">
        <w:tc>
          <w:tcPr>
            <w:tcW w:w="3114" w:type="dxa"/>
          </w:tcPr>
          <w:p w:rsidR="00007732" w:rsidRPr="00BB54A6" w:rsidRDefault="00007732" w:rsidP="00697747">
            <w:r>
              <w:t>Bank statements, cancelled checks, deposit slips</w:t>
            </w:r>
          </w:p>
        </w:tc>
        <w:tc>
          <w:tcPr>
            <w:tcW w:w="2835" w:type="dxa"/>
          </w:tcPr>
          <w:p w:rsidR="00007732" w:rsidRPr="00BB54A6" w:rsidRDefault="00007732" w:rsidP="00697747">
            <w:r>
              <w:t>7 years</w:t>
            </w:r>
          </w:p>
        </w:tc>
        <w:tc>
          <w:tcPr>
            <w:tcW w:w="1701" w:type="dxa"/>
          </w:tcPr>
          <w:p w:rsidR="00007732" w:rsidRPr="00BB54A6" w:rsidRDefault="00007732" w:rsidP="00697747"/>
        </w:tc>
        <w:tc>
          <w:tcPr>
            <w:tcW w:w="1559" w:type="dxa"/>
          </w:tcPr>
          <w:p w:rsidR="00007732" w:rsidRPr="00BB54A6" w:rsidRDefault="00007732" w:rsidP="00697747"/>
        </w:tc>
      </w:tr>
      <w:tr w:rsidR="00861271" w:rsidRPr="00BB54A6" w:rsidTr="00697747">
        <w:tc>
          <w:tcPr>
            <w:tcW w:w="3114" w:type="dxa"/>
          </w:tcPr>
          <w:p w:rsidR="00861271" w:rsidRPr="00BB54A6" w:rsidRDefault="00861271" w:rsidP="00697747">
            <w:r>
              <w:t>Business expense records</w:t>
            </w:r>
          </w:p>
        </w:tc>
        <w:tc>
          <w:tcPr>
            <w:tcW w:w="2835" w:type="dxa"/>
          </w:tcPr>
          <w:p w:rsidR="00861271" w:rsidRPr="00BB54A6" w:rsidRDefault="00861271" w:rsidP="00697747">
            <w:r>
              <w:t>7 years</w:t>
            </w:r>
          </w:p>
        </w:tc>
        <w:tc>
          <w:tcPr>
            <w:tcW w:w="1701" w:type="dxa"/>
          </w:tcPr>
          <w:p w:rsidR="00861271" w:rsidRPr="00BB54A6" w:rsidRDefault="00861271" w:rsidP="00697747"/>
        </w:tc>
        <w:tc>
          <w:tcPr>
            <w:tcW w:w="1559" w:type="dxa"/>
          </w:tcPr>
          <w:p w:rsidR="00861271" w:rsidRPr="00BB54A6" w:rsidRDefault="00861271" w:rsidP="00697747"/>
        </w:tc>
      </w:tr>
      <w:tr w:rsidR="00007732" w:rsidRPr="00BB54A6" w:rsidTr="00697747">
        <w:tc>
          <w:tcPr>
            <w:tcW w:w="3114" w:type="dxa"/>
          </w:tcPr>
          <w:p w:rsidR="00007732" w:rsidRPr="00BB54A6" w:rsidRDefault="00861271" w:rsidP="00697747">
            <w:r>
              <w:t>Cash receipts</w:t>
            </w:r>
          </w:p>
        </w:tc>
        <w:tc>
          <w:tcPr>
            <w:tcW w:w="2835" w:type="dxa"/>
          </w:tcPr>
          <w:p w:rsidR="00007732" w:rsidRPr="00BB54A6" w:rsidRDefault="00861271" w:rsidP="00697747">
            <w:r>
              <w:t>2 years</w:t>
            </w:r>
          </w:p>
        </w:tc>
        <w:tc>
          <w:tcPr>
            <w:tcW w:w="1701" w:type="dxa"/>
          </w:tcPr>
          <w:p w:rsidR="00007732" w:rsidRPr="00BB54A6" w:rsidRDefault="00007732" w:rsidP="00697747"/>
        </w:tc>
        <w:tc>
          <w:tcPr>
            <w:tcW w:w="1559" w:type="dxa"/>
          </w:tcPr>
          <w:p w:rsidR="00007732" w:rsidRPr="00BB54A6" w:rsidRDefault="00007732" w:rsidP="00697747"/>
        </w:tc>
      </w:tr>
      <w:tr w:rsidR="00007732" w:rsidRPr="00BB54A6" w:rsidTr="00697747">
        <w:tc>
          <w:tcPr>
            <w:tcW w:w="3114" w:type="dxa"/>
          </w:tcPr>
          <w:p w:rsidR="00007732" w:rsidRPr="00BB54A6" w:rsidRDefault="00861271" w:rsidP="00697747">
            <w:r>
              <w:t>Details of cheques/stubs</w:t>
            </w:r>
          </w:p>
        </w:tc>
        <w:tc>
          <w:tcPr>
            <w:tcW w:w="2835" w:type="dxa"/>
          </w:tcPr>
          <w:p w:rsidR="00007732" w:rsidRPr="00BB54A6" w:rsidRDefault="00861271" w:rsidP="00697747">
            <w:r>
              <w:t>7 years</w:t>
            </w:r>
          </w:p>
        </w:tc>
        <w:tc>
          <w:tcPr>
            <w:tcW w:w="1701" w:type="dxa"/>
          </w:tcPr>
          <w:p w:rsidR="00007732" w:rsidRPr="00BB54A6" w:rsidRDefault="00007732" w:rsidP="00697747"/>
        </w:tc>
        <w:tc>
          <w:tcPr>
            <w:tcW w:w="1559" w:type="dxa"/>
          </w:tcPr>
          <w:p w:rsidR="00007732" w:rsidRPr="00BB54A6" w:rsidRDefault="00007732" w:rsidP="00697747"/>
        </w:tc>
      </w:tr>
      <w:tr w:rsidR="00007732" w:rsidRPr="00BB54A6" w:rsidTr="00697747">
        <w:tc>
          <w:tcPr>
            <w:tcW w:w="3114" w:type="dxa"/>
          </w:tcPr>
          <w:p w:rsidR="00007732" w:rsidRPr="00BB54A6" w:rsidRDefault="00861271" w:rsidP="00697747">
            <w:r>
              <w:t>Electronic fund transfer documents</w:t>
            </w:r>
          </w:p>
        </w:tc>
        <w:tc>
          <w:tcPr>
            <w:tcW w:w="2835" w:type="dxa"/>
          </w:tcPr>
          <w:p w:rsidR="00007732" w:rsidRPr="00BB54A6" w:rsidRDefault="00861271" w:rsidP="00697747">
            <w:r>
              <w:t>7 years</w:t>
            </w:r>
          </w:p>
        </w:tc>
        <w:tc>
          <w:tcPr>
            <w:tcW w:w="1701" w:type="dxa"/>
          </w:tcPr>
          <w:p w:rsidR="00007732" w:rsidRPr="00BB54A6" w:rsidRDefault="00007732" w:rsidP="00697747"/>
        </w:tc>
        <w:tc>
          <w:tcPr>
            <w:tcW w:w="1559" w:type="dxa"/>
          </w:tcPr>
          <w:p w:rsidR="00007732" w:rsidRPr="00BB54A6" w:rsidRDefault="00007732" w:rsidP="00697747"/>
        </w:tc>
      </w:tr>
      <w:tr w:rsidR="00007732" w:rsidRPr="00BB54A6" w:rsidTr="00697747">
        <w:tc>
          <w:tcPr>
            <w:tcW w:w="3114" w:type="dxa"/>
          </w:tcPr>
          <w:p w:rsidR="00007732" w:rsidRPr="00BB54A6" w:rsidRDefault="00861271" w:rsidP="00697747">
            <w:r>
              <w:t>Employee expense reports</w:t>
            </w:r>
          </w:p>
        </w:tc>
        <w:tc>
          <w:tcPr>
            <w:tcW w:w="2835" w:type="dxa"/>
          </w:tcPr>
          <w:p w:rsidR="00007732" w:rsidRPr="00BB54A6" w:rsidRDefault="00861271" w:rsidP="00697747">
            <w:r>
              <w:t>7 years</w:t>
            </w:r>
          </w:p>
        </w:tc>
        <w:tc>
          <w:tcPr>
            <w:tcW w:w="1701" w:type="dxa"/>
          </w:tcPr>
          <w:p w:rsidR="00007732" w:rsidRPr="00BB54A6" w:rsidRDefault="00007732" w:rsidP="00697747"/>
        </w:tc>
        <w:tc>
          <w:tcPr>
            <w:tcW w:w="1559" w:type="dxa"/>
          </w:tcPr>
          <w:p w:rsidR="00007732" w:rsidRPr="00BB54A6" w:rsidRDefault="00007732" w:rsidP="00697747"/>
        </w:tc>
      </w:tr>
      <w:tr w:rsidR="00007732" w:rsidRPr="00BB54A6" w:rsidTr="00697747">
        <w:tc>
          <w:tcPr>
            <w:tcW w:w="3114" w:type="dxa"/>
          </w:tcPr>
          <w:p w:rsidR="00007732" w:rsidRPr="00BB54A6" w:rsidRDefault="00861271" w:rsidP="00697747">
            <w:r>
              <w:t>General ledgers</w:t>
            </w:r>
          </w:p>
        </w:tc>
        <w:tc>
          <w:tcPr>
            <w:tcW w:w="2835" w:type="dxa"/>
          </w:tcPr>
          <w:p w:rsidR="00007732" w:rsidRPr="00BB54A6" w:rsidRDefault="00861271" w:rsidP="00697747">
            <w:r>
              <w:t>Permanent</w:t>
            </w:r>
          </w:p>
        </w:tc>
        <w:tc>
          <w:tcPr>
            <w:tcW w:w="1701" w:type="dxa"/>
          </w:tcPr>
          <w:p w:rsidR="00007732" w:rsidRPr="00BB54A6" w:rsidRDefault="00007732" w:rsidP="00697747"/>
        </w:tc>
        <w:tc>
          <w:tcPr>
            <w:tcW w:w="1559" w:type="dxa"/>
          </w:tcPr>
          <w:p w:rsidR="00007732" w:rsidRPr="00BB54A6" w:rsidRDefault="00007732" w:rsidP="00697747"/>
        </w:tc>
      </w:tr>
      <w:tr w:rsidR="00007732" w:rsidRPr="00BB54A6" w:rsidTr="00697747">
        <w:tc>
          <w:tcPr>
            <w:tcW w:w="3114" w:type="dxa"/>
          </w:tcPr>
          <w:p w:rsidR="00007732" w:rsidRPr="00BB54A6" w:rsidRDefault="00861271" w:rsidP="00697747">
            <w:r>
              <w:t>Journal entries</w:t>
            </w:r>
          </w:p>
        </w:tc>
        <w:tc>
          <w:tcPr>
            <w:tcW w:w="2835" w:type="dxa"/>
          </w:tcPr>
          <w:p w:rsidR="00007732" w:rsidRPr="00BB54A6" w:rsidRDefault="00861271" w:rsidP="00697747">
            <w:r>
              <w:t>7 years</w:t>
            </w:r>
          </w:p>
        </w:tc>
        <w:tc>
          <w:tcPr>
            <w:tcW w:w="1701" w:type="dxa"/>
          </w:tcPr>
          <w:p w:rsidR="00007732" w:rsidRPr="00BB54A6" w:rsidRDefault="00007732" w:rsidP="00697747"/>
        </w:tc>
        <w:tc>
          <w:tcPr>
            <w:tcW w:w="1559" w:type="dxa"/>
          </w:tcPr>
          <w:p w:rsidR="00007732" w:rsidRPr="00BB54A6" w:rsidRDefault="00007732" w:rsidP="00697747"/>
        </w:tc>
      </w:tr>
      <w:tr w:rsidR="00007732" w:rsidRPr="00BB54A6" w:rsidTr="00697747">
        <w:tc>
          <w:tcPr>
            <w:tcW w:w="3114" w:type="dxa"/>
          </w:tcPr>
          <w:p w:rsidR="00007732" w:rsidRPr="00BB54A6" w:rsidRDefault="00861271" w:rsidP="00697747">
            <w:r>
              <w:t>Invoices</w:t>
            </w:r>
          </w:p>
        </w:tc>
        <w:tc>
          <w:tcPr>
            <w:tcW w:w="2835" w:type="dxa"/>
          </w:tcPr>
          <w:p w:rsidR="00007732" w:rsidRPr="00BB54A6" w:rsidRDefault="00861271" w:rsidP="00697747">
            <w:r>
              <w:t>7 years</w:t>
            </w:r>
          </w:p>
        </w:tc>
        <w:tc>
          <w:tcPr>
            <w:tcW w:w="1701" w:type="dxa"/>
          </w:tcPr>
          <w:p w:rsidR="00007732" w:rsidRPr="00BB54A6" w:rsidRDefault="00007732" w:rsidP="00697747"/>
        </w:tc>
        <w:tc>
          <w:tcPr>
            <w:tcW w:w="1559" w:type="dxa"/>
          </w:tcPr>
          <w:p w:rsidR="00007732" w:rsidRPr="00BB54A6" w:rsidRDefault="00007732" w:rsidP="00697747"/>
        </w:tc>
      </w:tr>
      <w:tr w:rsidR="00007732" w:rsidRPr="00BB54A6" w:rsidTr="00697747">
        <w:tc>
          <w:tcPr>
            <w:tcW w:w="3114" w:type="dxa"/>
          </w:tcPr>
          <w:p w:rsidR="00007732" w:rsidRPr="00BB54A6" w:rsidRDefault="00861271" w:rsidP="00697747">
            <w:r>
              <w:t>Petty cash vouchers</w:t>
            </w:r>
          </w:p>
        </w:tc>
        <w:tc>
          <w:tcPr>
            <w:tcW w:w="2835" w:type="dxa"/>
          </w:tcPr>
          <w:p w:rsidR="00007732" w:rsidRPr="00BB54A6" w:rsidRDefault="00861271" w:rsidP="00697747">
            <w:r>
              <w:t>3 years</w:t>
            </w:r>
          </w:p>
        </w:tc>
        <w:tc>
          <w:tcPr>
            <w:tcW w:w="1701" w:type="dxa"/>
          </w:tcPr>
          <w:p w:rsidR="00007732" w:rsidRPr="00BB54A6" w:rsidRDefault="00007732" w:rsidP="00697747"/>
        </w:tc>
        <w:tc>
          <w:tcPr>
            <w:tcW w:w="1559" w:type="dxa"/>
          </w:tcPr>
          <w:p w:rsidR="00007732" w:rsidRPr="00BB54A6" w:rsidRDefault="00007732" w:rsidP="00697747"/>
        </w:tc>
      </w:tr>
    </w:tbl>
    <w:p w:rsidR="005D6022" w:rsidRDefault="005D6022" w:rsidP="005D6022"/>
    <w:p w:rsidR="005D6022" w:rsidRDefault="005D6022" w:rsidP="00BB54A6">
      <w:pPr>
        <w:pStyle w:val="Heading3"/>
      </w:pPr>
      <w:bookmarkStart w:id="25" w:name="_Toc514426069"/>
      <w:r>
        <w:t>Tax Records</w:t>
      </w:r>
      <w:bookmarkEnd w:id="25"/>
      <w:r>
        <w:t xml:space="preserve"> </w:t>
      </w:r>
    </w:p>
    <w:p w:rsidR="00BB54A6" w:rsidRDefault="00BB54A6" w:rsidP="005D6022"/>
    <w:tbl>
      <w:tblPr>
        <w:tblStyle w:val="TableGrid"/>
        <w:tblW w:w="9209" w:type="dxa"/>
        <w:tblLook w:val="04A0" w:firstRow="1" w:lastRow="0" w:firstColumn="1" w:lastColumn="0" w:noHBand="0" w:noVBand="1"/>
      </w:tblPr>
      <w:tblGrid>
        <w:gridCol w:w="3100"/>
        <w:gridCol w:w="2826"/>
        <w:gridCol w:w="1721"/>
        <w:gridCol w:w="1562"/>
      </w:tblGrid>
      <w:tr w:rsidR="0021064C" w:rsidRPr="00BB54A6" w:rsidTr="00697747">
        <w:tc>
          <w:tcPr>
            <w:tcW w:w="3114" w:type="dxa"/>
            <w:shd w:val="clear" w:color="auto" w:fill="DBE5F1" w:themeFill="accent1" w:themeFillTint="33"/>
          </w:tcPr>
          <w:p w:rsidR="0021064C" w:rsidRPr="00BB54A6" w:rsidRDefault="0021064C" w:rsidP="002F4E0C">
            <w:pPr>
              <w:pStyle w:val="Heading4"/>
              <w:rPr>
                <w:rFonts w:eastAsia="Times New Roman"/>
              </w:rPr>
            </w:pPr>
            <w:r w:rsidRPr="00BB54A6">
              <w:rPr>
                <w:rFonts w:eastAsia="Times New Roman"/>
              </w:rPr>
              <w:lastRenderedPageBreak/>
              <w:t>Record</w:t>
            </w:r>
          </w:p>
        </w:tc>
        <w:tc>
          <w:tcPr>
            <w:tcW w:w="2835" w:type="dxa"/>
            <w:shd w:val="clear" w:color="auto" w:fill="DBE5F1" w:themeFill="accent1" w:themeFillTint="33"/>
          </w:tcPr>
          <w:p w:rsidR="0021064C" w:rsidRPr="00BB54A6" w:rsidRDefault="0021064C" w:rsidP="002F4E0C">
            <w:pPr>
              <w:pStyle w:val="Heading4"/>
              <w:rPr>
                <w:rFonts w:eastAsia="Times New Roman"/>
              </w:rPr>
            </w:pPr>
            <w:r w:rsidRPr="00BB54A6">
              <w:rPr>
                <w:rFonts w:eastAsia="Times New Roman"/>
              </w:rPr>
              <w:t>Retention Period</w:t>
            </w:r>
          </w:p>
        </w:tc>
        <w:tc>
          <w:tcPr>
            <w:tcW w:w="1701" w:type="dxa"/>
            <w:shd w:val="clear" w:color="auto" w:fill="DBE5F1" w:themeFill="accent1" w:themeFillTint="33"/>
          </w:tcPr>
          <w:p w:rsidR="0021064C" w:rsidRPr="00BB54A6" w:rsidRDefault="0021064C" w:rsidP="002F4E0C">
            <w:pPr>
              <w:pStyle w:val="Heading4"/>
              <w:rPr>
                <w:rFonts w:eastAsia="Times New Roman"/>
              </w:rPr>
            </w:pPr>
            <w:r w:rsidRPr="00BB54A6">
              <w:rPr>
                <w:rFonts w:eastAsia="Times New Roman"/>
              </w:rPr>
              <w:t>Justification for time frame</w:t>
            </w:r>
          </w:p>
        </w:tc>
        <w:tc>
          <w:tcPr>
            <w:tcW w:w="1559" w:type="dxa"/>
            <w:shd w:val="clear" w:color="auto" w:fill="DBE5F1" w:themeFill="accent1" w:themeFillTint="33"/>
          </w:tcPr>
          <w:p w:rsidR="0021064C" w:rsidRPr="00BB54A6" w:rsidRDefault="0021064C" w:rsidP="002F4E0C">
            <w:pPr>
              <w:pStyle w:val="Heading4"/>
              <w:rPr>
                <w:rFonts w:eastAsia="Times New Roman"/>
              </w:rPr>
            </w:pPr>
            <w:r w:rsidRPr="00BB54A6">
              <w:rPr>
                <w:rFonts w:eastAsia="Times New Roman"/>
              </w:rPr>
              <w:t xml:space="preserve">Legal basis for processing </w:t>
            </w:r>
          </w:p>
        </w:tc>
      </w:tr>
      <w:tr w:rsidR="0021064C" w:rsidRPr="00BB54A6" w:rsidTr="00697747">
        <w:tc>
          <w:tcPr>
            <w:tcW w:w="3114" w:type="dxa"/>
          </w:tcPr>
          <w:p w:rsidR="0021064C" w:rsidRPr="00BB54A6" w:rsidRDefault="0021064C" w:rsidP="00697747">
            <w:r>
              <w:t>All tax records</w:t>
            </w:r>
          </w:p>
        </w:tc>
        <w:tc>
          <w:tcPr>
            <w:tcW w:w="2835" w:type="dxa"/>
          </w:tcPr>
          <w:p w:rsidR="0021064C" w:rsidRPr="00BB54A6" w:rsidRDefault="0021064C" w:rsidP="00697747">
            <w:r>
              <w:t>7 years</w:t>
            </w:r>
          </w:p>
        </w:tc>
        <w:tc>
          <w:tcPr>
            <w:tcW w:w="1701" w:type="dxa"/>
          </w:tcPr>
          <w:p w:rsidR="0021064C" w:rsidRPr="00BB54A6" w:rsidRDefault="0021064C" w:rsidP="00697747">
            <w:pPr>
              <w:rPr>
                <w:highlight w:val="yellow"/>
              </w:rPr>
            </w:pPr>
          </w:p>
        </w:tc>
        <w:tc>
          <w:tcPr>
            <w:tcW w:w="1559" w:type="dxa"/>
          </w:tcPr>
          <w:p w:rsidR="0021064C" w:rsidRPr="00BB54A6" w:rsidRDefault="0021064C" w:rsidP="00697747">
            <w:pPr>
              <w:rPr>
                <w:highlight w:val="yellow"/>
              </w:rPr>
            </w:pPr>
          </w:p>
        </w:tc>
      </w:tr>
    </w:tbl>
    <w:p w:rsidR="0021064C" w:rsidRDefault="0021064C" w:rsidP="005D6022"/>
    <w:p w:rsidR="005D6022" w:rsidRDefault="005D6022" w:rsidP="005D6022"/>
    <w:p w:rsidR="005D6022" w:rsidRDefault="005D6022" w:rsidP="00BB54A6">
      <w:pPr>
        <w:pStyle w:val="Heading3"/>
      </w:pPr>
      <w:bookmarkStart w:id="26" w:name="_Toc514426070"/>
      <w:r>
        <w:t>Legal and Insurance Records</w:t>
      </w:r>
      <w:bookmarkEnd w:id="26"/>
      <w:r>
        <w:t xml:space="preserve"> </w:t>
      </w:r>
    </w:p>
    <w:p w:rsidR="00BB54A6" w:rsidRDefault="00BB54A6" w:rsidP="005D6022"/>
    <w:tbl>
      <w:tblPr>
        <w:tblStyle w:val="TableGrid"/>
        <w:tblW w:w="9209" w:type="dxa"/>
        <w:tblLook w:val="04A0" w:firstRow="1" w:lastRow="0" w:firstColumn="1" w:lastColumn="0" w:noHBand="0" w:noVBand="1"/>
      </w:tblPr>
      <w:tblGrid>
        <w:gridCol w:w="3102"/>
        <w:gridCol w:w="2824"/>
        <w:gridCol w:w="1721"/>
        <w:gridCol w:w="1562"/>
      </w:tblGrid>
      <w:tr w:rsidR="0021064C" w:rsidRPr="00BB54A6" w:rsidTr="00697747">
        <w:tc>
          <w:tcPr>
            <w:tcW w:w="3114" w:type="dxa"/>
            <w:shd w:val="clear" w:color="auto" w:fill="DBE5F1" w:themeFill="accent1" w:themeFillTint="33"/>
          </w:tcPr>
          <w:p w:rsidR="0021064C" w:rsidRPr="00BB54A6" w:rsidRDefault="0021064C" w:rsidP="002F4E0C">
            <w:pPr>
              <w:pStyle w:val="Heading4"/>
              <w:rPr>
                <w:rFonts w:eastAsia="Times New Roman"/>
              </w:rPr>
            </w:pPr>
            <w:r w:rsidRPr="00BB54A6">
              <w:rPr>
                <w:rFonts w:eastAsia="Times New Roman"/>
              </w:rPr>
              <w:t>Record</w:t>
            </w:r>
          </w:p>
        </w:tc>
        <w:tc>
          <w:tcPr>
            <w:tcW w:w="2835" w:type="dxa"/>
            <w:shd w:val="clear" w:color="auto" w:fill="DBE5F1" w:themeFill="accent1" w:themeFillTint="33"/>
          </w:tcPr>
          <w:p w:rsidR="0021064C" w:rsidRPr="00BB54A6" w:rsidRDefault="0021064C" w:rsidP="002F4E0C">
            <w:pPr>
              <w:pStyle w:val="Heading4"/>
              <w:rPr>
                <w:rFonts w:eastAsia="Times New Roman"/>
              </w:rPr>
            </w:pPr>
            <w:r w:rsidRPr="00BB54A6">
              <w:rPr>
                <w:rFonts w:eastAsia="Times New Roman"/>
              </w:rPr>
              <w:t>Retention Period</w:t>
            </w:r>
          </w:p>
        </w:tc>
        <w:tc>
          <w:tcPr>
            <w:tcW w:w="1701" w:type="dxa"/>
            <w:shd w:val="clear" w:color="auto" w:fill="DBE5F1" w:themeFill="accent1" w:themeFillTint="33"/>
          </w:tcPr>
          <w:p w:rsidR="0021064C" w:rsidRPr="00BB54A6" w:rsidRDefault="0021064C" w:rsidP="002F4E0C">
            <w:pPr>
              <w:pStyle w:val="Heading4"/>
              <w:rPr>
                <w:rFonts w:eastAsia="Times New Roman"/>
              </w:rPr>
            </w:pPr>
            <w:r w:rsidRPr="00BB54A6">
              <w:rPr>
                <w:rFonts w:eastAsia="Times New Roman"/>
              </w:rPr>
              <w:t>Justification for time frame</w:t>
            </w:r>
          </w:p>
        </w:tc>
        <w:tc>
          <w:tcPr>
            <w:tcW w:w="1559" w:type="dxa"/>
            <w:shd w:val="clear" w:color="auto" w:fill="DBE5F1" w:themeFill="accent1" w:themeFillTint="33"/>
          </w:tcPr>
          <w:p w:rsidR="0021064C" w:rsidRPr="00BB54A6" w:rsidRDefault="0021064C" w:rsidP="002F4E0C">
            <w:pPr>
              <w:pStyle w:val="Heading4"/>
              <w:rPr>
                <w:rFonts w:eastAsia="Times New Roman"/>
              </w:rPr>
            </w:pPr>
            <w:r w:rsidRPr="00BB54A6">
              <w:rPr>
                <w:rFonts w:eastAsia="Times New Roman"/>
              </w:rPr>
              <w:t xml:space="preserve">Legal basis for processing </w:t>
            </w:r>
          </w:p>
        </w:tc>
      </w:tr>
      <w:tr w:rsidR="0021064C" w:rsidRPr="00BB54A6" w:rsidTr="00697747">
        <w:tc>
          <w:tcPr>
            <w:tcW w:w="3114" w:type="dxa"/>
          </w:tcPr>
          <w:p w:rsidR="0021064C" w:rsidRPr="00BB54A6" w:rsidRDefault="0021064C" w:rsidP="00697747">
            <w:r>
              <w:t>Appraisals</w:t>
            </w:r>
          </w:p>
        </w:tc>
        <w:tc>
          <w:tcPr>
            <w:tcW w:w="2835" w:type="dxa"/>
          </w:tcPr>
          <w:p w:rsidR="0021064C" w:rsidRPr="00BB54A6" w:rsidRDefault="0021064C" w:rsidP="00697747">
            <w:r>
              <w:t>6 years from termination</w:t>
            </w:r>
          </w:p>
        </w:tc>
        <w:tc>
          <w:tcPr>
            <w:tcW w:w="1701" w:type="dxa"/>
          </w:tcPr>
          <w:p w:rsidR="0021064C" w:rsidRPr="00BB54A6" w:rsidRDefault="0021064C" w:rsidP="00697747">
            <w:pPr>
              <w:rPr>
                <w:highlight w:val="yellow"/>
              </w:rPr>
            </w:pPr>
          </w:p>
        </w:tc>
        <w:tc>
          <w:tcPr>
            <w:tcW w:w="1559" w:type="dxa"/>
          </w:tcPr>
          <w:p w:rsidR="0021064C" w:rsidRPr="00BB54A6" w:rsidRDefault="0021064C" w:rsidP="00697747">
            <w:pPr>
              <w:rPr>
                <w:highlight w:val="yellow"/>
              </w:rPr>
            </w:pPr>
          </w:p>
        </w:tc>
      </w:tr>
      <w:tr w:rsidR="0021064C" w:rsidRPr="00BB54A6" w:rsidTr="00697747">
        <w:tc>
          <w:tcPr>
            <w:tcW w:w="3114" w:type="dxa"/>
          </w:tcPr>
          <w:p w:rsidR="0021064C" w:rsidRPr="00BB54A6" w:rsidRDefault="0021064C" w:rsidP="00697747">
            <w:r>
              <w:t>Insurance claims/ applications</w:t>
            </w:r>
          </w:p>
        </w:tc>
        <w:tc>
          <w:tcPr>
            <w:tcW w:w="2835" w:type="dxa"/>
          </w:tcPr>
          <w:p w:rsidR="0021064C" w:rsidRPr="00BB54A6" w:rsidRDefault="0021064C" w:rsidP="00697747">
            <w:r>
              <w:t>Permanent</w:t>
            </w:r>
          </w:p>
        </w:tc>
        <w:tc>
          <w:tcPr>
            <w:tcW w:w="1701" w:type="dxa"/>
          </w:tcPr>
          <w:p w:rsidR="0021064C" w:rsidRPr="00BB54A6" w:rsidRDefault="0021064C" w:rsidP="00697747">
            <w:pPr>
              <w:rPr>
                <w:highlight w:val="yellow"/>
              </w:rPr>
            </w:pPr>
          </w:p>
        </w:tc>
        <w:tc>
          <w:tcPr>
            <w:tcW w:w="1559" w:type="dxa"/>
          </w:tcPr>
          <w:p w:rsidR="0021064C" w:rsidRPr="00BB54A6" w:rsidRDefault="0021064C" w:rsidP="00697747">
            <w:pPr>
              <w:rPr>
                <w:highlight w:val="yellow"/>
              </w:rPr>
            </w:pPr>
          </w:p>
        </w:tc>
      </w:tr>
      <w:tr w:rsidR="0021064C" w:rsidRPr="00BB54A6" w:rsidTr="00697747">
        <w:tc>
          <w:tcPr>
            <w:tcW w:w="3114" w:type="dxa"/>
          </w:tcPr>
          <w:p w:rsidR="0021064C" w:rsidRPr="00BB54A6" w:rsidRDefault="0021064C" w:rsidP="00697747">
            <w:r>
              <w:t>Insurance disbursements and denials</w:t>
            </w:r>
          </w:p>
        </w:tc>
        <w:tc>
          <w:tcPr>
            <w:tcW w:w="2835" w:type="dxa"/>
          </w:tcPr>
          <w:p w:rsidR="0021064C" w:rsidRPr="00BB54A6" w:rsidRDefault="0021064C" w:rsidP="00697747">
            <w:r>
              <w:t>Permanent</w:t>
            </w:r>
          </w:p>
        </w:tc>
        <w:tc>
          <w:tcPr>
            <w:tcW w:w="1701" w:type="dxa"/>
          </w:tcPr>
          <w:p w:rsidR="0021064C" w:rsidRPr="00BB54A6" w:rsidRDefault="0021064C" w:rsidP="00697747">
            <w:pPr>
              <w:rPr>
                <w:highlight w:val="yellow"/>
              </w:rPr>
            </w:pPr>
          </w:p>
        </w:tc>
        <w:tc>
          <w:tcPr>
            <w:tcW w:w="1559" w:type="dxa"/>
          </w:tcPr>
          <w:p w:rsidR="0021064C" w:rsidRPr="00BB54A6" w:rsidRDefault="0021064C" w:rsidP="00697747">
            <w:pPr>
              <w:rPr>
                <w:highlight w:val="yellow"/>
              </w:rPr>
            </w:pPr>
          </w:p>
        </w:tc>
      </w:tr>
      <w:tr w:rsidR="0021064C" w:rsidRPr="00BB54A6" w:rsidTr="00697747">
        <w:tc>
          <w:tcPr>
            <w:tcW w:w="3114" w:type="dxa"/>
          </w:tcPr>
          <w:p w:rsidR="0021064C" w:rsidRPr="00BB54A6" w:rsidRDefault="0021064C" w:rsidP="00697747">
            <w:r>
              <w:t>Insurance contracts and policies (Director and Officers, General Liability, Property, Workers' Compensation)</w:t>
            </w:r>
          </w:p>
        </w:tc>
        <w:tc>
          <w:tcPr>
            <w:tcW w:w="2835" w:type="dxa"/>
          </w:tcPr>
          <w:p w:rsidR="0021064C" w:rsidRPr="00BB54A6" w:rsidRDefault="0021064C" w:rsidP="00697747"/>
        </w:tc>
        <w:tc>
          <w:tcPr>
            <w:tcW w:w="1701" w:type="dxa"/>
          </w:tcPr>
          <w:p w:rsidR="0021064C" w:rsidRPr="00BB54A6" w:rsidRDefault="0021064C" w:rsidP="00697747"/>
        </w:tc>
        <w:tc>
          <w:tcPr>
            <w:tcW w:w="1559" w:type="dxa"/>
          </w:tcPr>
          <w:p w:rsidR="0021064C" w:rsidRPr="00BB54A6" w:rsidRDefault="0021064C" w:rsidP="00697747"/>
        </w:tc>
      </w:tr>
      <w:tr w:rsidR="0021064C" w:rsidRPr="00BB54A6" w:rsidTr="00697747">
        <w:tc>
          <w:tcPr>
            <w:tcW w:w="3114" w:type="dxa"/>
          </w:tcPr>
          <w:p w:rsidR="0021064C" w:rsidRPr="00BB54A6" w:rsidRDefault="0021064C" w:rsidP="00697747">
            <w:r>
              <w:t>Leases</w:t>
            </w:r>
          </w:p>
        </w:tc>
        <w:tc>
          <w:tcPr>
            <w:tcW w:w="2835" w:type="dxa"/>
          </w:tcPr>
          <w:p w:rsidR="0021064C" w:rsidRPr="00BB54A6" w:rsidRDefault="0021064C" w:rsidP="00697747">
            <w:r>
              <w:t>6 years after expiration</w:t>
            </w:r>
          </w:p>
        </w:tc>
        <w:tc>
          <w:tcPr>
            <w:tcW w:w="1701" w:type="dxa"/>
          </w:tcPr>
          <w:p w:rsidR="0021064C" w:rsidRPr="00BB54A6" w:rsidRDefault="0021064C" w:rsidP="00697747"/>
        </w:tc>
        <w:tc>
          <w:tcPr>
            <w:tcW w:w="1559" w:type="dxa"/>
          </w:tcPr>
          <w:p w:rsidR="0021064C" w:rsidRPr="00BB54A6" w:rsidRDefault="0021064C" w:rsidP="00697747"/>
        </w:tc>
      </w:tr>
      <w:tr w:rsidR="0021064C" w:rsidRPr="00BB54A6" w:rsidTr="00697747">
        <w:tc>
          <w:tcPr>
            <w:tcW w:w="3114" w:type="dxa"/>
          </w:tcPr>
          <w:p w:rsidR="0021064C" w:rsidRPr="00BB54A6" w:rsidRDefault="0021064C" w:rsidP="00697747">
            <w:r>
              <w:t>Patents, patent applications, supporting documents</w:t>
            </w:r>
          </w:p>
        </w:tc>
        <w:tc>
          <w:tcPr>
            <w:tcW w:w="2835" w:type="dxa"/>
          </w:tcPr>
          <w:p w:rsidR="0021064C" w:rsidRPr="00BB54A6" w:rsidRDefault="0021064C" w:rsidP="00697747"/>
        </w:tc>
        <w:tc>
          <w:tcPr>
            <w:tcW w:w="1701" w:type="dxa"/>
          </w:tcPr>
          <w:p w:rsidR="0021064C" w:rsidRPr="00BB54A6" w:rsidRDefault="0021064C" w:rsidP="00697747"/>
        </w:tc>
        <w:tc>
          <w:tcPr>
            <w:tcW w:w="1559" w:type="dxa"/>
          </w:tcPr>
          <w:p w:rsidR="0021064C" w:rsidRPr="00BB54A6" w:rsidRDefault="0021064C" w:rsidP="00697747"/>
        </w:tc>
      </w:tr>
      <w:tr w:rsidR="0021064C" w:rsidRPr="00BB54A6" w:rsidTr="00697747">
        <w:tc>
          <w:tcPr>
            <w:tcW w:w="3114" w:type="dxa"/>
          </w:tcPr>
          <w:p w:rsidR="0021064C" w:rsidRPr="00BB54A6" w:rsidRDefault="0021064C" w:rsidP="00697747">
            <w:r>
              <w:t>Real estate documents (including loan and mortgage contract, deeds)</w:t>
            </w:r>
          </w:p>
        </w:tc>
        <w:tc>
          <w:tcPr>
            <w:tcW w:w="2835" w:type="dxa"/>
          </w:tcPr>
          <w:p w:rsidR="0021064C" w:rsidRPr="00BB54A6" w:rsidRDefault="00A25B9F" w:rsidP="00697747">
            <w:r>
              <w:t>Permanent</w:t>
            </w:r>
          </w:p>
        </w:tc>
        <w:tc>
          <w:tcPr>
            <w:tcW w:w="1701" w:type="dxa"/>
          </w:tcPr>
          <w:p w:rsidR="0021064C" w:rsidRPr="00BB54A6" w:rsidRDefault="0021064C" w:rsidP="00697747"/>
        </w:tc>
        <w:tc>
          <w:tcPr>
            <w:tcW w:w="1559" w:type="dxa"/>
          </w:tcPr>
          <w:p w:rsidR="0021064C" w:rsidRPr="00BB54A6" w:rsidRDefault="0021064C" w:rsidP="00697747"/>
        </w:tc>
      </w:tr>
      <w:tr w:rsidR="0021064C" w:rsidRPr="00BB54A6" w:rsidTr="00697747">
        <w:tc>
          <w:tcPr>
            <w:tcW w:w="3114" w:type="dxa"/>
          </w:tcPr>
          <w:p w:rsidR="0021064C" w:rsidRPr="00BB54A6" w:rsidRDefault="00A25B9F" w:rsidP="00697747">
            <w:r>
              <w:t>Stock and bond records</w:t>
            </w:r>
          </w:p>
        </w:tc>
        <w:tc>
          <w:tcPr>
            <w:tcW w:w="2835" w:type="dxa"/>
          </w:tcPr>
          <w:p w:rsidR="0021064C" w:rsidRPr="00BB54A6" w:rsidRDefault="00A25B9F" w:rsidP="00697747">
            <w:r>
              <w:t>Permanent</w:t>
            </w:r>
          </w:p>
        </w:tc>
        <w:tc>
          <w:tcPr>
            <w:tcW w:w="1701" w:type="dxa"/>
          </w:tcPr>
          <w:p w:rsidR="0021064C" w:rsidRPr="00BB54A6" w:rsidRDefault="0021064C" w:rsidP="00697747"/>
        </w:tc>
        <w:tc>
          <w:tcPr>
            <w:tcW w:w="1559" w:type="dxa"/>
          </w:tcPr>
          <w:p w:rsidR="0021064C" w:rsidRPr="00BB54A6" w:rsidRDefault="0021064C" w:rsidP="00697747"/>
        </w:tc>
      </w:tr>
      <w:tr w:rsidR="00A25B9F" w:rsidRPr="00BB54A6" w:rsidTr="00697747">
        <w:tc>
          <w:tcPr>
            <w:tcW w:w="3114" w:type="dxa"/>
          </w:tcPr>
          <w:p w:rsidR="00A25B9F" w:rsidRPr="00BB54A6" w:rsidRDefault="00A25B9F" w:rsidP="00697747">
            <w:r>
              <w:t>Trademark registrations, evidence of use documents</w:t>
            </w:r>
          </w:p>
        </w:tc>
        <w:tc>
          <w:tcPr>
            <w:tcW w:w="2835" w:type="dxa"/>
          </w:tcPr>
          <w:p w:rsidR="00A25B9F" w:rsidRDefault="00A25B9F" w:rsidP="00697747">
            <w:r>
              <w:t>Permanent</w:t>
            </w:r>
          </w:p>
        </w:tc>
        <w:tc>
          <w:tcPr>
            <w:tcW w:w="1701" w:type="dxa"/>
          </w:tcPr>
          <w:p w:rsidR="00A25B9F" w:rsidRPr="00BB54A6" w:rsidRDefault="00A25B9F" w:rsidP="00697747"/>
        </w:tc>
        <w:tc>
          <w:tcPr>
            <w:tcW w:w="1559" w:type="dxa"/>
          </w:tcPr>
          <w:p w:rsidR="00A25B9F" w:rsidRPr="00BB54A6" w:rsidRDefault="00A25B9F" w:rsidP="00697747"/>
        </w:tc>
      </w:tr>
      <w:tr w:rsidR="00A25B9F" w:rsidRPr="00BB54A6" w:rsidTr="00697747">
        <w:tc>
          <w:tcPr>
            <w:tcW w:w="3114" w:type="dxa"/>
          </w:tcPr>
          <w:p w:rsidR="00A25B9F" w:rsidRPr="00BB54A6" w:rsidRDefault="00A25B9F" w:rsidP="00697747">
            <w:r>
              <w:t>Warranties</w:t>
            </w:r>
          </w:p>
        </w:tc>
        <w:tc>
          <w:tcPr>
            <w:tcW w:w="2835" w:type="dxa"/>
          </w:tcPr>
          <w:p w:rsidR="00A25B9F" w:rsidRDefault="00A25B9F" w:rsidP="00697747">
            <w:r>
              <w:t>Duration of warranty + 7 years</w:t>
            </w:r>
          </w:p>
        </w:tc>
        <w:tc>
          <w:tcPr>
            <w:tcW w:w="1701" w:type="dxa"/>
          </w:tcPr>
          <w:p w:rsidR="00A25B9F" w:rsidRPr="00BB54A6" w:rsidRDefault="00A25B9F" w:rsidP="00697747"/>
        </w:tc>
        <w:tc>
          <w:tcPr>
            <w:tcW w:w="1559" w:type="dxa"/>
          </w:tcPr>
          <w:p w:rsidR="00A25B9F" w:rsidRPr="00BB54A6" w:rsidRDefault="00A25B9F" w:rsidP="00697747"/>
        </w:tc>
      </w:tr>
    </w:tbl>
    <w:p w:rsidR="0021064C" w:rsidRDefault="0021064C" w:rsidP="005D6022"/>
    <w:p w:rsidR="00B76CCB" w:rsidRPr="005D6022" w:rsidRDefault="00B76CCB" w:rsidP="005D6022"/>
    <w:sectPr w:rsidR="00B76CCB" w:rsidRPr="005D6022" w:rsidSect="008A4B74">
      <w:footerReference w:type="default" r:id="rId13"/>
      <w:pgSz w:w="11907" w:h="16839"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0C" w:rsidRDefault="002F4E0C" w:rsidP="000E6BEA">
      <w:r>
        <w:separator/>
      </w:r>
    </w:p>
  </w:endnote>
  <w:endnote w:type="continuationSeparator" w:id="0">
    <w:p w:rsidR="002F4E0C" w:rsidRDefault="002F4E0C" w:rsidP="000E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970104"/>
      <w:docPartObj>
        <w:docPartGallery w:val="Page Numbers (Bottom of Page)"/>
        <w:docPartUnique/>
      </w:docPartObj>
    </w:sdtPr>
    <w:sdtContent>
      <w:sdt>
        <w:sdtPr>
          <w:id w:val="860082579"/>
          <w:docPartObj>
            <w:docPartGallery w:val="Page Numbers (Top of Page)"/>
            <w:docPartUnique/>
          </w:docPartObj>
        </w:sdtPr>
        <w:sdtContent>
          <w:p w:rsidR="002F4E0C" w:rsidRDefault="002F4E0C">
            <w:pPr>
              <w:pStyle w:val="Footer"/>
              <w:jc w:val="right"/>
            </w:pPr>
            <w:r>
              <w:t xml:space="preserve">Health Research Board – Document Retention Policy. Page </w:t>
            </w:r>
            <w:r>
              <w:rPr>
                <w:b/>
                <w:bCs/>
                <w:sz w:val="24"/>
                <w:szCs w:val="24"/>
              </w:rPr>
              <w:fldChar w:fldCharType="begin"/>
            </w:r>
            <w:r>
              <w:rPr>
                <w:b/>
                <w:bCs/>
              </w:rPr>
              <w:instrText xml:space="preserve"> PAGE </w:instrText>
            </w:r>
            <w:r>
              <w:rPr>
                <w:b/>
                <w:bCs/>
                <w:sz w:val="24"/>
                <w:szCs w:val="24"/>
              </w:rPr>
              <w:fldChar w:fldCharType="separate"/>
            </w:r>
            <w:r w:rsidR="00C457EE">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57EE">
              <w:rPr>
                <w:b/>
                <w:bCs/>
                <w:noProof/>
              </w:rPr>
              <w:t>20</w:t>
            </w:r>
            <w:r>
              <w:rPr>
                <w:b/>
                <w:bCs/>
                <w:sz w:val="24"/>
                <w:szCs w:val="24"/>
              </w:rPr>
              <w:fldChar w:fldCharType="end"/>
            </w:r>
          </w:p>
        </w:sdtContent>
      </w:sdt>
    </w:sdtContent>
  </w:sdt>
  <w:p w:rsidR="002F4E0C" w:rsidRDefault="002F4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0C" w:rsidRDefault="002F4E0C" w:rsidP="000E6BEA">
      <w:r>
        <w:separator/>
      </w:r>
    </w:p>
  </w:footnote>
  <w:footnote w:type="continuationSeparator" w:id="0">
    <w:p w:rsidR="002F4E0C" w:rsidRDefault="002F4E0C" w:rsidP="000E6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ACF"/>
    <w:multiLevelType w:val="hybridMultilevel"/>
    <w:tmpl w:val="403E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8B7CDD"/>
    <w:multiLevelType w:val="hybridMultilevel"/>
    <w:tmpl w:val="0CA09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C13467"/>
    <w:multiLevelType w:val="hybridMultilevel"/>
    <w:tmpl w:val="14A8E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9064D4"/>
    <w:multiLevelType w:val="hybridMultilevel"/>
    <w:tmpl w:val="EBB87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EF5480B"/>
    <w:multiLevelType w:val="hybridMultilevel"/>
    <w:tmpl w:val="05E692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FF06172"/>
    <w:multiLevelType w:val="hybridMultilevel"/>
    <w:tmpl w:val="43E652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F190D1A"/>
    <w:multiLevelType w:val="hybridMultilevel"/>
    <w:tmpl w:val="BF8CF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01C58C0"/>
    <w:multiLevelType w:val="hybridMultilevel"/>
    <w:tmpl w:val="04BCF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7FA3063"/>
    <w:multiLevelType w:val="hybridMultilevel"/>
    <w:tmpl w:val="2A36C1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FD2C95"/>
    <w:multiLevelType w:val="hybridMultilevel"/>
    <w:tmpl w:val="091CD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9CB3F4F"/>
    <w:multiLevelType w:val="hybridMultilevel"/>
    <w:tmpl w:val="E1B8F1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CA10581"/>
    <w:multiLevelType w:val="hybridMultilevel"/>
    <w:tmpl w:val="94560FF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1B83494"/>
    <w:multiLevelType w:val="hybridMultilevel"/>
    <w:tmpl w:val="180CDCD8"/>
    <w:lvl w:ilvl="0" w:tplc="51385B2C">
      <w:start w:val="1"/>
      <w:numFmt w:val="bullet"/>
      <w:lvlText w:val=""/>
      <w:lvlJc w:val="left"/>
      <w:pPr>
        <w:ind w:left="720" w:hanging="360"/>
      </w:pPr>
      <w:rPr>
        <w:rFonts w:ascii="Symbol" w:hAnsi="Symbol" w:hint="default"/>
        <w:color w:val="C0504D" w:themeColor="accent2"/>
      </w:rPr>
    </w:lvl>
    <w:lvl w:ilvl="1" w:tplc="A05C9C38">
      <w:start w:val="1"/>
      <w:numFmt w:val="bullet"/>
      <w:lvlText w:val="o"/>
      <w:lvlJc w:val="left"/>
      <w:pPr>
        <w:ind w:left="1440" w:hanging="360"/>
      </w:pPr>
      <w:rPr>
        <w:rFonts w:ascii="Courier New" w:hAnsi="Courier New" w:hint="default"/>
        <w:color w:val="C0504D" w:themeColor="accent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4644DCE"/>
    <w:multiLevelType w:val="hybridMultilevel"/>
    <w:tmpl w:val="50BA52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B1D3E26"/>
    <w:multiLevelType w:val="hybridMultilevel"/>
    <w:tmpl w:val="0A4EB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C8C3D56"/>
    <w:multiLevelType w:val="hybridMultilevel"/>
    <w:tmpl w:val="75D878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1FC439E"/>
    <w:multiLevelType w:val="hybridMultilevel"/>
    <w:tmpl w:val="7A00D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87B06C3"/>
    <w:multiLevelType w:val="hybridMultilevel"/>
    <w:tmpl w:val="505429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7745D1C"/>
    <w:multiLevelType w:val="hybridMultilevel"/>
    <w:tmpl w:val="7F58D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CDF56D6"/>
    <w:multiLevelType w:val="hybridMultilevel"/>
    <w:tmpl w:val="5020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2"/>
  </w:num>
  <w:num w:numId="4">
    <w:abstractNumId w:val="5"/>
  </w:num>
  <w:num w:numId="5">
    <w:abstractNumId w:val="17"/>
  </w:num>
  <w:num w:numId="6">
    <w:abstractNumId w:val="4"/>
  </w:num>
  <w:num w:numId="7">
    <w:abstractNumId w:val="14"/>
  </w:num>
  <w:num w:numId="8">
    <w:abstractNumId w:val="13"/>
  </w:num>
  <w:num w:numId="9">
    <w:abstractNumId w:val="10"/>
  </w:num>
  <w:num w:numId="10">
    <w:abstractNumId w:val="1"/>
  </w:num>
  <w:num w:numId="11">
    <w:abstractNumId w:val="0"/>
  </w:num>
  <w:num w:numId="12">
    <w:abstractNumId w:val="11"/>
  </w:num>
  <w:num w:numId="13">
    <w:abstractNumId w:val="19"/>
  </w:num>
  <w:num w:numId="14">
    <w:abstractNumId w:val="7"/>
  </w:num>
  <w:num w:numId="15">
    <w:abstractNumId w:val="8"/>
  </w:num>
  <w:num w:numId="16">
    <w:abstractNumId w:val="3"/>
  </w:num>
  <w:num w:numId="17">
    <w:abstractNumId w:val="6"/>
  </w:num>
  <w:num w:numId="18">
    <w:abstractNumId w:val="2"/>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26"/>
    <w:rsid w:val="00007732"/>
    <w:rsid w:val="00017084"/>
    <w:rsid w:val="00037A98"/>
    <w:rsid w:val="0007611A"/>
    <w:rsid w:val="000A278F"/>
    <w:rsid w:val="000E6BEA"/>
    <w:rsid w:val="001603A5"/>
    <w:rsid w:val="00196DA2"/>
    <w:rsid w:val="001C4F2C"/>
    <w:rsid w:val="001E294C"/>
    <w:rsid w:val="001F56B0"/>
    <w:rsid w:val="0021064C"/>
    <w:rsid w:val="002264D8"/>
    <w:rsid w:val="00232CEC"/>
    <w:rsid w:val="00245B4B"/>
    <w:rsid w:val="002E3EFA"/>
    <w:rsid w:val="002F0158"/>
    <w:rsid w:val="002F4E0C"/>
    <w:rsid w:val="002F6305"/>
    <w:rsid w:val="00303E84"/>
    <w:rsid w:val="003200EB"/>
    <w:rsid w:val="003C519D"/>
    <w:rsid w:val="003E134D"/>
    <w:rsid w:val="005069CC"/>
    <w:rsid w:val="00520E89"/>
    <w:rsid w:val="005A00B9"/>
    <w:rsid w:val="005D6022"/>
    <w:rsid w:val="00626FCF"/>
    <w:rsid w:val="00697747"/>
    <w:rsid w:val="006F6077"/>
    <w:rsid w:val="00723D11"/>
    <w:rsid w:val="00736746"/>
    <w:rsid w:val="008179E6"/>
    <w:rsid w:val="00861271"/>
    <w:rsid w:val="008A4B74"/>
    <w:rsid w:val="008B33A0"/>
    <w:rsid w:val="008E7AA7"/>
    <w:rsid w:val="008E7BF7"/>
    <w:rsid w:val="00926737"/>
    <w:rsid w:val="00926C6F"/>
    <w:rsid w:val="009872C4"/>
    <w:rsid w:val="009B0B26"/>
    <w:rsid w:val="009C3AA4"/>
    <w:rsid w:val="009F2E80"/>
    <w:rsid w:val="009F45AB"/>
    <w:rsid w:val="00A25B9F"/>
    <w:rsid w:val="00A35B1C"/>
    <w:rsid w:val="00A615C7"/>
    <w:rsid w:val="00A92419"/>
    <w:rsid w:val="00AF48D2"/>
    <w:rsid w:val="00B526AF"/>
    <w:rsid w:val="00B76CCB"/>
    <w:rsid w:val="00BB29FC"/>
    <w:rsid w:val="00BB54A6"/>
    <w:rsid w:val="00BE1FEB"/>
    <w:rsid w:val="00C07943"/>
    <w:rsid w:val="00C457EE"/>
    <w:rsid w:val="00CF35B1"/>
    <w:rsid w:val="00D17118"/>
    <w:rsid w:val="00D94A6C"/>
    <w:rsid w:val="00DC6B8B"/>
    <w:rsid w:val="00E53A4E"/>
    <w:rsid w:val="00E62DCD"/>
    <w:rsid w:val="00F45028"/>
    <w:rsid w:val="00F611B3"/>
    <w:rsid w:val="00F97D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0B26"/>
    <w:pPr>
      <w:spacing w:line="360" w:lineRule="auto"/>
    </w:pPr>
  </w:style>
  <w:style w:type="paragraph" w:styleId="Heading1">
    <w:name w:val="heading 1"/>
    <w:basedOn w:val="Normal"/>
    <w:next w:val="Normal"/>
    <w:link w:val="Heading1Char"/>
    <w:autoRedefine/>
    <w:uiPriority w:val="9"/>
    <w:qFormat/>
    <w:rsid w:val="001E294C"/>
    <w:pPr>
      <w:keepNext/>
      <w:keepLines/>
      <w:spacing w:before="480"/>
      <w:outlineLvl w:val="0"/>
    </w:pPr>
    <w:rPr>
      <w:rFonts w:asciiTheme="majorHAnsi" w:eastAsiaTheme="majorEastAsia" w:hAnsiTheme="majorHAnsi" w:cstheme="majorBidi"/>
      <w:b/>
      <w:bCs/>
      <w:color w:val="365F91" w:themeColor="accent1" w:themeShade="BF"/>
      <w:sz w:val="30"/>
      <w:szCs w:val="28"/>
    </w:rPr>
  </w:style>
  <w:style w:type="paragraph" w:styleId="Heading2">
    <w:name w:val="heading 2"/>
    <w:basedOn w:val="Normal"/>
    <w:next w:val="Normal"/>
    <w:link w:val="Heading2Char"/>
    <w:autoRedefine/>
    <w:uiPriority w:val="9"/>
    <w:unhideWhenUsed/>
    <w:qFormat/>
    <w:rsid w:val="006F6077"/>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6F6077"/>
    <w:pPr>
      <w:keepNext/>
      <w:keepLines/>
      <w:spacing w:before="200"/>
      <w:outlineLvl w:val="2"/>
    </w:pPr>
    <w:rPr>
      <w:rFonts w:asciiTheme="majorHAnsi" w:eastAsiaTheme="majorEastAsia" w:hAnsiTheme="majorHAnsi" w:cstheme="majorBidi"/>
      <w:b/>
      <w:bCs/>
      <w:color w:val="4F81BD" w:themeColor="accent1"/>
      <w:sz w:val="26"/>
      <w:lang w:val="en-IE"/>
    </w:rPr>
  </w:style>
  <w:style w:type="paragraph" w:styleId="Heading4">
    <w:name w:val="heading 4"/>
    <w:basedOn w:val="Normal"/>
    <w:next w:val="Normal"/>
    <w:link w:val="Heading4Char"/>
    <w:autoRedefine/>
    <w:uiPriority w:val="9"/>
    <w:unhideWhenUsed/>
    <w:qFormat/>
    <w:rsid w:val="002F4E0C"/>
    <w:pPr>
      <w:keepNext/>
      <w:keepLines/>
      <w:tabs>
        <w:tab w:val="center" w:pos="1449"/>
      </w:tabs>
      <w:spacing w:before="200"/>
      <w:outlineLvl w:val="3"/>
    </w:pPr>
    <w:rPr>
      <w:rFonts w:asciiTheme="majorHAnsi" w:eastAsiaTheme="majorEastAsia" w:hAnsiTheme="majorHAnsi" w:cs="Arial"/>
      <w:b/>
      <w:bCs/>
      <w:iCs/>
      <w:color w:val="000099"/>
      <w:sz w:val="27"/>
      <w:szCs w:val="27"/>
    </w:rPr>
  </w:style>
  <w:style w:type="paragraph" w:styleId="Heading5">
    <w:name w:val="heading 5"/>
    <w:basedOn w:val="Normal"/>
    <w:next w:val="Normal"/>
    <w:link w:val="Heading5Char"/>
    <w:uiPriority w:val="9"/>
    <w:semiHidden/>
    <w:unhideWhenUsed/>
    <w:rsid w:val="001E29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Title">
    <w:name w:val="Title"/>
    <w:basedOn w:val="Normal"/>
    <w:next w:val="Normal"/>
    <w:link w:val="TitleChar"/>
    <w:uiPriority w:val="10"/>
    <w:qFormat/>
    <w:rsid w:val="009F45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5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611B3"/>
    <w:pPr>
      <w:ind w:left="720"/>
      <w:contextualSpacing/>
    </w:pPr>
  </w:style>
  <w:style w:type="character" w:customStyle="1" w:styleId="Heading1Char">
    <w:name w:val="Heading 1 Char"/>
    <w:basedOn w:val="DefaultParagraphFont"/>
    <w:link w:val="Heading1"/>
    <w:uiPriority w:val="9"/>
    <w:rsid w:val="001E294C"/>
    <w:rPr>
      <w:rFonts w:asciiTheme="majorHAnsi" w:eastAsiaTheme="majorEastAsia" w:hAnsiTheme="majorHAnsi" w:cstheme="majorBidi"/>
      <w:b/>
      <w:bCs/>
      <w:color w:val="365F91" w:themeColor="accent1" w:themeShade="BF"/>
      <w:sz w:val="30"/>
      <w:szCs w:val="28"/>
    </w:rPr>
  </w:style>
  <w:style w:type="table" w:styleId="TableGrid">
    <w:name w:val="Table Grid"/>
    <w:basedOn w:val="TableNormal"/>
    <w:uiPriority w:val="39"/>
    <w:rsid w:val="0032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6077"/>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6F6077"/>
    <w:rPr>
      <w:rFonts w:asciiTheme="majorHAnsi" w:eastAsiaTheme="majorEastAsia" w:hAnsiTheme="majorHAnsi" w:cstheme="majorBidi"/>
      <w:b/>
      <w:bCs/>
      <w:color w:val="4F81BD" w:themeColor="accent1"/>
      <w:sz w:val="26"/>
      <w:lang w:val="en-IE"/>
    </w:rPr>
  </w:style>
  <w:style w:type="character" w:customStyle="1" w:styleId="Heading4Char">
    <w:name w:val="Heading 4 Char"/>
    <w:basedOn w:val="DefaultParagraphFont"/>
    <w:link w:val="Heading4"/>
    <w:uiPriority w:val="9"/>
    <w:rsid w:val="002F4E0C"/>
    <w:rPr>
      <w:rFonts w:asciiTheme="majorHAnsi" w:eastAsiaTheme="majorEastAsia" w:hAnsiTheme="majorHAnsi" w:cs="Arial"/>
      <w:b/>
      <w:bCs/>
      <w:iCs/>
      <w:color w:val="000099"/>
      <w:sz w:val="27"/>
      <w:szCs w:val="27"/>
    </w:rPr>
  </w:style>
  <w:style w:type="character" w:styleId="CommentReference">
    <w:name w:val="annotation reference"/>
    <w:basedOn w:val="DefaultParagraphFont"/>
    <w:uiPriority w:val="99"/>
    <w:semiHidden/>
    <w:unhideWhenUsed/>
    <w:rsid w:val="009F2E80"/>
    <w:rPr>
      <w:sz w:val="16"/>
      <w:szCs w:val="16"/>
    </w:rPr>
  </w:style>
  <w:style w:type="paragraph" w:styleId="CommentText">
    <w:name w:val="annotation text"/>
    <w:basedOn w:val="Normal"/>
    <w:link w:val="CommentTextChar"/>
    <w:uiPriority w:val="99"/>
    <w:semiHidden/>
    <w:unhideWhenUsed/>
    <w:rsid w:val="009F2E80"/>
    <w:rPr>
      <w:sz w:val="20"/>
      <w:szCs w:val="20"/>
    </w:rPr>
  </w:style>
  <w:style w:type="character" w:customStyle="1" w:styleId="CommentTextChar">
    <w:name w:val="Comment Text Char"/>
    <w:basedOn w:val="DefaultParagraphFont"/>
    <w:link w:val="CommentText"/>
    <w:uiPriority w:val="99"/>
    <w:semiHidden/>
    <w:rsid w:val="009F2E80"/>
    <w:rPr>
      <w:sz w:val="20"/>
      <w:szCs w:val="20"/>
    </w:rPr>
  </w:style>
  <w:style w:type="paragraph" w:styleId="CommentSubject">
    <w:name w:val="annotation subject"/>
    <w:basedOn w:val="CommentText"/>
    <w:next w:val="CommentText"/>
    <w:link w:val="CommentSubjectChar"/>
    <w:uiPriority w:val="99"/>
    <w:semiHidden/>
    <w:unhideWhenUsed/>
    <w:rsid w:val="009F2E80"/>
    <w:rPr>
      <w:b/>
      <w:bCs/>
    </w:rPr>
  </w:style>
  <w:style w:type="character" w:customStyle="1" w:styleId="CommentSubjectChar">
    <w:name w:val="Comment Subject Char"/>
    <w:basedOn w:val="CommentTextChar"/>
    <w:link w:val="CommentSubject"/>
    <w:uiPriority w:val="99"/>
    <w:semiHidden/>
    <w:rsid w:val="009F2E80"/>
    <w:rPr>
      <w:b/>
      <w:bCs/>
      <w:sz w:val="20"/>
      <w:szCs w:val="20"/>
    </w:rPr>
  </w:style>
  <w:style w:type="paragraph" w:styleId="BalloonText">
    <w:name w:val="Balloon Text"/>
    <w:basedOn w:val="Normal"/>
    <w:link w:val="BalloonTextChar"/>
    <w:uiPriority w:val="99"/>
    <w:semiHidden/>
    <w:unhideWhenUsed/>
    <w:rsid w:val="009F2E80"/>
    <w:rPr>
      <w:rFonts w:ascii="Tahoma" w:hAnsi="Tahoma" w:cs="Tahoma"/>
      <w:sz w:val="16"/>
      <w:szCs w:val="16"/>
    </w:rPr>
  </w:style>
  <w:style w:type="character" w:customStyle="1" w:styleId="BalloonTextChar">
    <w:name w:val="Balloon Text Char"/>
    <w:basedOn w:val="DefaultParagraphFont"/>
    <w:link w:val="BalloonText"/>
    <w:uiPriority w:val="99"/>
    <w:semiHidden/>
    <w:rsid w:val="009F2E80"/>
    <w:rPr>
      <w:rFonts w:ascii="Tahoma" w:hAnsi="Tahoma" w:cs="Tahoma"/>
      <w:sz w:val="16"/>
      <w:szCs w:val="16"/>
    </w:rPr>
  </w:style>
  <w:style w:type="paragraph" w:styleId="TOCHeading">
    <w:name w:val="TOC Heading"/>
    <w:basedOn w:val="Heading1"/>
    <w:next w:val="Normal"/>
    <w:uiPriority w:val="39"/>
    <w:semiHidden/>
    <w:unhideWhenUsed/>
    <w:qFormat/>
    <w:rsid w:val="00926737"/>
    <w:pPr>
      <w:spacing w:line="276" w:lineRule="auto"/>
      <w:outlineLvl w:val="9"/>
    </w:pPr>
    <w:rPr>
      <w:sz w:val="28"/>
    </w:rPr>
  </w:style>
  <w:style w:type="paragraph" w:styleId="TOC1">
    <w:name w:val="toc 1"/>
    <w:basedOn w:val="Normal"/>
    <w:next w:val="Normal"/>
    <w:autoRedefine/>
    <w:uiPriority w:val="39"/>
    <w:unhideWhenUsed/>
    <w:rsid w:val="00926737"/>
    <w:pPr>
      <w:spacing w:after="100"/>
    </w:pPr>
  </w:style>
  <w:style w:type="paragraph" w:styleId="TOC2">
    <w:name w:val="toc 2"/>
    <w:basedOn w:val="Normal"/>
    <w:next w:val="Normal"/>
    <w:autoRedefine/>
    <w:uiPriority w:val="39"/>
    <w:unhideWhenUsed/>
    <w:rsid w:val="00926737"/>
    <w:pPr>
      <w:spacing w:after="100"/>
      <w:ind w:left="240"/>
    </w:pPr>
  </w:style>
  <w:style w:type="paragraph" w:styleId="TOC3">
    <w:name w:val="toc 3"/>
    <w:basedOn w:val="Normal"/>
    <w:next w:val="Normal"/>
    <w:autoRedefine/>
    <w:uiPriority w:val="39"/>
    <w:unhideWhenUsed/>
    <w:rsid w:val="00926737"/>
    <w:pPr>
      <w:spacing w:after="100"/>
      <w:ind w:left="480"/>
    </w:pPr>
  </w:style>
  <w:style w:type="character" w:styleId="Hyperlink">
    <w:name w:val="Hyperlink"/>
    <w:basedOn w:val="DefaultParagraphFont"/>
    <w:uiPriority w:val="99"/>
    <w:unhideWhenUsed/>
    <w:rsid w:val="00926737"/>
    <w:rPr>
      <w:color w:val="0000FF" w:themeColor="hyperlink"/>
      <w:u w:val="single"/>
    </w:rPr>
  </w:style>
  <w:style w:type="paragraph" w:styleId="FootnoteText">
    <w:name w:val="footnote text"/>
    <w:basedOn w:val="Normal"/>
    <w:link w:val="FootnoteTextChar"/>
    <w:uiPriority w:val="99"/>
    <w:semiHidden/>
    <w:unhideWhenUsed/>
    <w:rsid w:val="000E6BEA"/>
    <w:rPr>
      <w:sz w:val="20"/>
      <w:szCs w:val="20"/>
    </w:rPr>
  </w:style>
  <w:style w:type="character" w:customStyle="1" w:styleId="FootnoteTextChar">
    <w:name w:val="Footnote Text Char"/>
    <w:basedOn w:val="DefaultParagraphFont"/>
    <w:link w:val="FootnoteText"/>
    <w:uiPriority w:val="99"/>
    <w:semiHidden/>
    <w:rsid w:val="000E6BEA"/>
    <w:rPr>
      <w:sz w:val="20"/>
      <w:szCs w:val="20"/>
    </w:rPr>
  </w:style>
  <w:style w:type="character" w:styleId="FootnoteReference">
    <w:name w:val="footnote reference"/>
    <w:basedOn w:val="DefaultParagraphFont"/>
    <w:uiPriority w:val="99"/>
    <w:semiHidden/>
    <w:unhideWhenUsed/>
    <w:rsid w:val="000E6BEA"/>
    <w:rPr>
      <w:vertAlign w:val="superscript"/>
    </w:rPr>
  </w:style>
  <w:style w:type="character" w:customStyle="1" w:styleId="Heading5Char">
    <w:name w:val="Heading 5 Char"/>
    <w:basedOn w:val="DefaultParagraphFont"/>
    <w:link w:val="Heading5"/>
    <w:uiPriority w:val="9"/>
    <w:semiHidden/>
    <w:rsid w:val="001E294C"/>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1C4F2C"/>
    <w:pPr>
      <w:tabs>
        <w:tab w:val="center" w:pos="4513"/>
        <w:tab w:val="right" w:pos="9026"/>
      </w:tabs>
      <w:spacing w:line="240" w:lineRule="auto"/>
    </w:pPr>
  </w:style>
  <w:style w:type="character" w:customStyle="1" w:styleId="HeaderChar">
    <w:name w:val="Header Char"/>
    <w:basedOn w:val="DefaultParagraphFont"/>
    <w:link w:val="Header"/>
    <w:uiPriority w:val="99"/>
    <w:rsid w:val="001C4F2C"/>
  </w:style>
  <w:style w:type="paragraph" w:styleId="Footer">
    <w:name w:val="footer"/>
    <w:basedOn w:val="Normal"/>
    <w:link w:val="FooterChar"/>
    <w:uiPriority w:val="99"/>
    <w:unhideWhenUsed/>
    <w:rsid w:val="001C4F2C"/>
    <w:pPr>
      <w:tabs>
        <w:tab w:val="center" w:pos="4513"/>
        <w:tab w:val="right" w:pos="9026"/>
      </w:tabs>
      <w:spacing w:line="240" w:lineRule="auto"/>
    </w:pPr>
  </w:style>
  <w:style w:type="character" w:customStyle="1" w:styleId="FooterChar">
    <w:name w:val="Footer Char"/>
    <w:basedOn w:val="DefaultParagraphFont"/>
    <w:link w:val="Footer"/>
    <w:uiPriority w:val="99"/>
    <w:rsid w:val="001C4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0B26"/>
    <w:pPr>
      <w:spacing w:line="360" w:lineRule="auto"/>
    </w:pPr>
  </w:style>
  <w:style w:type="paragraph" w:styleId="Heading1">
    <w:name w:val="heading 1"/>
    <w:basedOn w:val="Normal"/>
    <w:next w:val="Normal"/>
    <w:link w:val="Heading1Char"/>
    <w:autoRedefine/>
    <w:uiPriority w:val="9"/>
    <w:qFormat/>
    <w:rsid w:val="001E294C"/>
    <w:pPr>
      <w:keepNext/>
      <w:keepLines/>
      <w:spacing w:before="480"/>
      <w:outlineLvl w:val="0"/>
    </w:pPr>
    <w:rPr>
      <w:rFonts w:asciiTheme="majorHAnsi" w:eastAsiaTheme="majorEastAsia" w:hAnsiTheme="majorHAnsi" w:cstheme="majorBidi"/>
      <w:b/>
      <w:bCs/>
      <w:color w:val="365F91" w:themeColor="accent1" w:themeShade="BF"/>
      <w:sz w:val="30"/>
      <w:szCs w:val="28"/>
    </w:rPr>
  </w:style>
  <w:style w:type="paragraph" w:styleId="Heading2">
    <w:name w:val="heading 2"/>
    <w:basedOn w:val="Normal"/>
    <w:next w:val="Normal"/>
    <w:link w:val="Heading2Char"/>
    <w:autoRedefine/>
    <w:uiPriority w:val="9"/>
    <w:unhideWhenUsed/>
    <w:qFormat/>
    <w:rsid w:val="006F6077"/>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6F6077"/>
    <w:pPr>
      <w:keepNext/>
      <w:keepLines/>
      <w:spacing w:before="200"/>
      <w:outlineLvl w:val="2"/>
    </w:pPr>
    <w:rPr>
      <w:rFonts w:asciiTheme="majorHAnsi" w:eastAsiaTheme="majorEastAsia" w:hAnsiTheme="majorHAnsi" w:cstheme="majorBidi"/>
      <w:b/>
      <w:bCs/>
      <w:color w:val="4F81BD" w:themeColor="accent1"/>
      <w:sz w:val="26"/>
      <w:lang w:val="en-IE"/>
    </w:rPr>
  </w:style>
  <w:style w:type="paragraph" w:styleId="Heading4">
    <w:name w:val="heading 4"/>
    <w:basedOn w:val="Normal"/>
    <w:next w:val="Normal"/>
    <w:link w:val="Heading4Char"/>
    <w:autoRedefine/>
    <w:uiPriority w:val="9"/>
    <w:unhideWhenUsed/>
    <w:qFormat/>
    <w:rsid w:val="002F4E0C"/>
    <w:pPr>
      <w:keepNext/>
      <w:keepLines/>
      <w:tabs>
        <w:tab w:val="center" w:pos="1449"/>
      </w:tabs>
      <w:spacing w:before="200"/>
      <w:outlineLvl w:val="3"/>
    </w:pPr>
    <w:rPr>
      <w:rFonts w:asciiTheme="majorHAnsi" w:eastAsiaTheme="majorEastAsia" w:hAnsiTheme="majorHAnsi" w:cs="Arial"/>
      <w:b/>
      <w:bCs/>
      <w:iCs/>
      <w:color w:val="000099"/>
      <w:sz w:val="27"/>
      <w:szCs w:val="27"/>
    </w:rPr>
  </w:style>
  <w:style w:type="paragraph" w:styleId="Heading5">
    <w:name w:val="heading 5"/>
    <w:basedOn w:val="Normal"/>
    <w:next w:val="Normal"/>
    <w:link w:val="Heading5Char"/>
    <w:uiPriority w:val="9"/>
    <w:semiHidden/>
    <w:unhideWhenUsed/>
    <w:rsid w:val="001E29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Title">
    <w:name w:val="Title"/>
    <w:basedOn w:val="Normal"/>
    <w:next w:val="Normal"/>
    <w:link w:val="TitleChar"/>
    <w:uiPriority w:val="10"/>
    <w:qFormat/>
    <w:rsid w:val="009F45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5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611B3"/>
    <w:pPr>
      <w:ind w:left="720"/>
      <w:contextualSpacing/>
    </w:pPr>
  </w:style>
  <w:style w:type="character" w:customStyle="1" w:styleId="Heading1Char">
    <w:name w:val="Heading 1 Char"/>
    <w:basedOn w:val="DefaultParagraphFont"/>
    <w:link w:val="Heading1"/>
    <w:uiPriority w:val="9"/>
    <w:rsid w:val="001E294C"/>
    <w:rPr>
      <w:rFonts w:asciiTheme="majorHAnsi" w:eastAsiaTheme="majorEastAsia" w:hAnsiTheme="majorHAnsi" w:cstheme="majorBidi"/>
      <w:b/>
      <w:bCs/>
      <w:color w:val="365F91" w:themeColor="accent1" w:themeShade="BF"/>
      <w:sz w:val="30"/>
      <w:szCs w:val="28"/>
    </w:rPr>
  </w:style>
  <w:style w:type="table" w:styleId="TableGrid">
    <w:name w:val="Table Grid"/>
    <w:basedOn w:val="TableNormal"/>
    <w:uiPriority w:val="39"/>
    <w:rsid w:val="0032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6077"/>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6F6077"/>
    <w:rPr>
      <w:rFonts w:asciiTheme="majorHAnsi" w:eastAsiaTheme="majorEastAsia" w:hAnsiTheme="majorHAnsi" w:cstheme="majorBidi"/>
      <w:b/>
      <w:bCs/>
      <w:color w:val="4F81BD" w:themeColor="accent1"/>
      <w:sz w:val="26"/>
      <w:lang w:val="en-IE"/>
    </w:rPr>
  </w:style>
  <w:style w:type="character" w:customStyle="1" w:styleId="Heading4Char">
    <w:name w:val="Heading 4 Char"/>
    <w:basedOn w:val="DefaultParagraphFont"/>
    <w:link w:val="Heading4"/>
    <w:uiPriority w:val="9"/>
    <w:rsid w:val="002F4E0C"/>
    <w:rPr>
      <w:rFonts w:asciiTheme="majorHAnsi" w:eastAsiaTheme="majorEastAsia" w:hAnsiTheme="majorHAnsi" w:cs="Arial"/>
      <w:b/>
      <w:bCs/>
      <w:iCs/>
      <w:color w:val="000099"/>
      <w:sz w:val="27"/>
      <w:szCs w:val="27"/>
    </w:rPr>
  </w:style>
  <w:style w:type="character" w:styleId="CommentReference">
    <w:name w:val="annotation reference"/>
    <w:basedOn w:val="DefaultParagraphFont"/>
    <w:uiPriority w:val="99"/>
    <w:semiHidden/>
    <w:unhideWhenUsed/>
    <w:rsid w:val="009F2E80"/>
    <w:rPr>
      <w:sz w:val="16"/>
      <w:szCs w:val="16"/>
    </w:rPr>
  </w:style>
  <w:style w:type="paragraph" w:styleId="CommentText">
    <w:name w:val="annotation text"/>
    <w:basedOn w:val="Normal"/>
    <w:link w:val="CommentTextChar"/>
    <w:uiPriority w:val="99"/>
    <w:semiHidden/>
    <w:unhideWhenUsed/>
    <w:rsid w:val="009F2E80"/>
    <w:rPr>
      <w:sz w:val="20"/>
      <w:szCs w:val="20"/>
    </w:rPr>
  </w:style>
  <w:style w:type="character" w:customStyle="1" w:styleId="CommentTextChar">
    <w:name w:val="Comment Text Char"/>
    <w:basedOn w:val="DefaultParagraphFont"/>
    <w:link w:val="CommentText"/>
    <w:uiPriority w:val="99"/>
    <w:semiHidden/>
    <w:rsid w:val="009F2E80"/>
    <w:rPr>
      <w:sz w:val="20"/>
      <w:szCs w:val="20"/>
    </w:rPr>
  </w:style>
  <w:style w:type="paragraph" w:styleId="CommentSubject">
    <w:name w:val="annotation subject"/>
    <w:basedOn w:val="CommentText"/>
    <w:next w:val="CommentText"/>
    <w:link w:val="CommentSubjectChar"/>
    <w:uiPriority w:val="99"/>
    <w:semiHidden/>
    <w:unhideWhenUsed/>
    <w:rsid w:val="009F2E80"/>
    <w:rPr>
      <w:b/>
      <w:bCs/>
    </w:rPr>
  </w:style>
  <w:style w:type="character" w:customStyle="1" w:styleId="CommentSubjectChar">
    <w:name w:val="Comment Subject Char"/>
    <w:basedOn w:val="CommentTextChar"/>
    <w:link w:val="CommentSubject"/>
    <w:uiPriority w:val="99"/>
    <w:semiHidden/>
    <w:rsid w:val="009F2E80"/>
    <w:rPr>
      <w:b/>
      <w:bCs/>
      <w:sz w:val="20"/>
      <w:szCs w:val="20"/>
    </w:rPr>
  </w:style>
  <w:style w:type="paragraph" w:styleId="BalloonText">
    <w:name w:val="Balloon Text"/>
    <w:basedOn w:val="Normal"/>
    <w:link w:val="BalloonTextChar"/>
    <w:uiPriority w:val="99"/>
    <w:semiHidden/>
    <w:unhideWhenUsed/>
    <w:rsid w:val="009F2E80"/>
    <w:rPr>
      <w:rFonts w:ascii="Tahoma" w:hAnsi="Tahoma" w:cs="Tahoma"/>
      <w:sz w:val="16"/>
      <w:szCs w:val="16"/>
    </w:rPr>
  </w:style>
  <w:style w:type="character" w:customStyle="1" w:styleId="BalloonTextChar">
    <w:name w:val="Balloon Text Char"/>
    <w:basedOn w:val="DefaultParagraphFont"/>
    <w:link w:val="BalloonText"/>
    <w:uiPriority w:val="99"/>
    <w:semiHidden/>
    <w:rsid w:val="009F2E80"/>
    <w:rPr>
      <w:rFonts w:ascii="Tahoma" w:hAnsi="Tahoma" w:cs="Tahoma"/>
      <w:sz w:val="16"/>
      <w:szCs w:val="16"/>
    </w:rPr>
  </w:style>
  <w:style w:type="paragraph" w:styleId="TOCHeading">
    <w:name w:val="TOC Heading"/>
    <w:basedOn w:val="Heading1"/>
    <w:next w:val="Normal"/>
    <w:uiPriority w:val="39"/>
    <w:semiHidden/>
    <w:unhideWhenUsed/>
    <w:qFormat/>
    <w:rsid w:val="00926737"/>
    <w:pPr>
      <w:spacing w:line="276" w:lineRule="auto"/>
      <w:outlineLvl w:val="9"/>
    </w:pPr>
    <w:rPr>
      <w:sz w:val="28"/>
    </w:rPr>
  </w:style>
  <w:style w:type="paragraph" w:styleId="TOC1">
    <w:name w:val="toc 1"/>
    <w:basedOn w:val="Normal"/>
    <w:next w:val="Normal"/>
    <w:autoRedefine/>
    <w:uiPriority w:val="39"/>
    <w:unhideWhenUsed/>
    <w:rsid w:val="00926737"/>
    <w:pPr>
      <w:spacing w:after="100"/>
    </w:pPr>
  </w:style>
  <w:style w:type="paragraph" w:styleId="TOC2">
    <w:name w:val="toc 2"/>
    <w:basedOn w:val="Normal"/>
    <w:next w:val="Normal"/>
    <w:autoRedefine/>
    <w:uiPriority w:val="39"/>
    <w:unhideWhenUsed/>
    <w:rsid w:val="00926737"/>
    <w:pPr>
      <w:spacing w:after="100"/>
      <w:ind w:left="240"/>
    </w:pPr>
  </w:style>
  <w:style w:type="paragraph" w:styleId="TOC3">
    <w:name w:val="toc 3"/>
    <w:basedOn w:val="Normal"/>
    <w:next w:val="Normal"/>
    <w:autoRedefine/>
    <w:uiPriority w:val="39"/>
    <w:unhideWhenUsed/>
    <w:rsid w:val="00926737"/>
    <w:pPr>
      <w:spacing w:after="100"/>
      <w:ind w:left="480"/>
    </w:pPr>
  </w:style>
  <w:style w:type="character" w:styleId="Hyperlink">
    <w:name w:val="Hyperlink"/>
    <w:basedOn w:val="DefaultParagraphFont"/>
    <w:uiPriority w:val="99"/>
    <w:unhideWhenUsed/>
    <w:rsid w:val="00926737"/>
    <w:rPr>
      <w:color w:val="0000FF" w:themeColor="hyperlink"/>
      <w:u w:val="single"/>
    </w:rPr>
  </w:style>
  <w:style w:type="paragraph" w:styleId="FootnoteText">
    <w:name w:val="footnote text"/>
    <w:basedOn w:val="Normal"/>
    <w:link w:val="FootnoteTextChar"/>
    <w:uiPriority w:val="99"/>
    <w:semiHidden/>
    <w:unhideWhenUsed/>
    <w:rsid w:val="000E6BEA"/>
    <w:rPr>
      <w:sz w:val="20"/>
      <w:szCs w:val="20"/>
    </w:rPr>
  </w:style>
  <w:style w:type="character" w:customStyle="1" w:styleId="FootnoteTextChar">
    <w:name w:val="Footnote Text Char"/>
    <w:basedOn w:val="DefaultParagraphFont"/>
    <w:link w:val="FootnoteText"/>
    <w:uiPriority w:val="99"/>
    <w:semiHidden/>
    <w:rsid w:val="000E6BEA"/>
    <w:rPr>
      <w:sz w:val="20"/>
      <w:szCs w:val="20"/>
    </w:rPr>
  </w:style>
  <w:style w:type="character" w:styleId="FootnoteReference">
    <w:name w:val="footnote reference"/>
    <w:basedOn w:val="DefaultParagraphFont"/>
    <w:uiPriority w:val="99"/>
    <w:semiHidden/>
    <w:unhideWhenUsed/>
    <w:rsid w:val="000E6BEA"/>
    <w:rPr>
      <w:vertAlign w:val="superscript"/>
    </w:rPr>
  </w:style>
  <w:style w:type="character" w:customStyle="1" w:styleId="Heading5Char">
    <w:name w:val="Heading 5 Char"/>
    <w:basedOn w:val="DefaultParagraphFont"/>
    <w:link w:val="Heading5"/>
    <w:uiPriority w:val="9"/>
    <w:semiHidden/>
    <w:rsid w:val="001E294C"/>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1C4F2C"/>
    <w:pPr>
      <w:tabs>
        <w:tab w:val="center" w:pos="4513"/>
        <w:tab w:val="right" w:pos="9026"/>
      </w:tabs>
      <w:spacing w:line="240" w:lineRule="auto"/>
    </w:pPr>
  </w:style>
  <w:style w:type="character" w:customStyle="1" w:styleId="HeaderChar">
    <w:name w:val="Header Char"/>
    <w:basedOn w:val="DefaultParagraphFont"/>
    <w:link w:val="Header"/>
    <w:uiPriority w:val="99"/>
    <w:rsid w:val="001C4F2C"/>
  </w:style>
  <w:style w:type="paragraph" w:styleId="Footer">
    <w:name w:val="footer"/>
    <w:basedOn w:val="Normal"/>
    <w:link w:val="FooterChar"/>
    <w:uiPriority w:val="99"/>
    <w:unhideWhenUsed/>
    <w:rsid w:val="001C4F2C"/>
    <w:pPr>
      <w:tabs>
        <w:tab w:val="center" w:pos="4513"/>
        <w:tab w:val="right" w:pos="9026"/>
      </w:tabs>
      <w:spacing w:line="240" w:lineRule="auto"/>
    </w:pPr>
  </w:style>
  <w:style w:type="character" w:customStyle="1" w:styleId="FooterChar">
    <w:name w:val="Footer Char"/>
    <w:basedOn w:val="DefaultParagraphFont"/>
    <w:link w:val="Footer"/>
    <w:uiPriority w:val="99"/>
    <w:rsid w:val="001C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5043">
      <w:bodyDiv w:val="1"/>
      <w:marLeft w:val="0"/>
      <w:marRight w:val="0"/>
      <w:marTop w:val="0"/>
      <w:marBottom w:val="0"/>
      <w:divBdr>
        <w:top w:val="none" w:sz="0" w:space="0" w:color="auto"/>
        <w:left w:val="none" w:sz="0" w:space="0" w:color="auto"/>
        <w:bottom w:val="none" w:sz="0" w:space="0" w:color="auto"/>
        <w:right w:val="none" w:sz="0" w:space="0" w:color="auto"/>
      </w:divBdr>
      <w:divsChild>
        <w:div w:id="120223006">
          <w:marLeft w:val="0"/>
          <w:marRight w:val="0"/>
          <w:marTop w:val="0"/>
          <w:marBottom w:val="0"/>
          <w:divBdr>
            <w:top w:val="none" w:sz="0" w:space="0" w:color="auto"/>
            <w:left w:val="none" w:sz="0" w:space="0" w:color="auto"/>
            <w:bottom w:val="none" w:sz="0" w:space="0" w:color="auto"/>
            <w:right w:val="none" w:sz="0" w:space="0" w:color="auto"/>
          </w:divBdr>
          <w:divsChild>
            <w:div w:id="16516130">
              <w:marLeft w:val="0"/>
              <w:marRight w:val="0"/>
              <w:marTop w:val="0"/>
              <w:marBottom w:val="0"/>
              <w:divBdr>
                <w:top w:val="none" w:sz="0" w:space="0" w:color="auto"/>
                <w:left w:val="none" w:sz="0" w:space="0" w:color="auto"/>
                <w:bottom w:val="none" w:sz="0" w:space="0" w:color="auto"/>
                <w:right w:val="none" w:sz="0" w:space="0" w:color="auto"/>
              </w:divBdr>
              <w:divsChild>
                <w:div w:id="1342780576">
                  <w:marLeft w:val="0"/>
                  <w:marRight w:val="0"/>
                  <w:marTop w:val="0"/>
                  <w:marBottom w:val="0"/>
                  <w:divBdr>
                    <w:top w:val="none" w:sz="0" w:space="0" w:color="auto"/>
                    <w:left w:val="none" w:sz="0" w:space="0" w:color="auto"/>
                    <w:bottom w:val="none" w:sz="0" w:space="0" w:color="auto"/>
                    <w:right w:val="none" w:sz="0" w:space="0" w:color="auto"/>
                  </w:divBdr>
                  <w:divsChild>
                    <w:div w:id="871839653">
                      <w:marLeft w:val="-300"/>
                      <w:marRight w:val="-300"/>
                      <w:marTop w:val="0"/>
                      <w:marBottom w:val="0"/>
                      <w:divBdr>
                        <w:top w:val="none" w:sz="0" w:space="0" w:color="auto"/>
                        <w:left w:val="none" w:sz="0" w:space="0" w:color="auto"/>
                        <w:bottom w:val="none" w:sz="0" w:space="0" w:color="auto"/>
                        <w:right w:val="none" w:sz="0" w:space="0" w:color="auto"/>
                      </w:divBdr>
                      <w:divsChild>
                        <w:div w:id="2088571199">
                          <w:marLeft w:val="0"/>
                          <w:marRight w:val="0"/>
                          <w:marTop w:val="0"/>
                          <w:marBottom w:val="0"/>
                          <w:divBdr>
                            <w:top w:val="none" w:sz="0" w:space="0" w:color="auto"/>
                            <w:left w:val="none" w:sz="0" w:space="0" w:color="auto"/>
                            <w:bottom w:val="none" w:sz="0" w:space="0" w:color="auto"/>
                            <w:right w:val="none" w:sz="0" w:space="0" w:color="auto"/>
                          </w:divBdr>
                          <w:divsChild>
                            <w:div w:id="6003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525975">
      <w:bodyDiv w:val="1"/>
      <w:marLeft w:val="0"/>
      <w:marRight w:val="0"/>
      <w:marTop w:val="0"/>
      <w:marBottom w:val="0"/>
      <w:divBdr>
        <w:top w:val="none" w:sz="0" w:space="0" w:color="auto"/>
        <w:left w:val="none" w:sz="0" w:space="0" w:color="auto"/>
        <w:bottom w:val="none" w:sz="0" w:space="0" w:color="auto"/>
        <w:right w:val="none" w:sz="0" w:space="0" w:color="auto"/>
      </w:divBdr>
      <w:divsChild>
        <w:div w:id="1347101584">
          <w:marLeft w:val="0"/>
          <w:marRight w:val="0"/>
          <w:marTop w:val="0"/>
          <w:marBottom w:val="0"/>
          <w:divBdr>
            <w:top w:val="none" w:sz="0" w:space="0" w:color="auto"/>
            <w:left w:val="none" w:sz="0" w:space="0" w:color="auto"/>
            <w:bottom w:val="none" w:sz="0" w:space="0" w:color="auto"/>
            <w:right w:val="none" w:sz="0" w:space="0" w:color="auto"/>
          </w:divBdr>
          <w:divsChild>
            <w:div w:id="1950966222">
              <w:marLeft w:val="0"/>
              <w:marRight w:val="0"/>
              <w:marTop w:val="0"/>
              <w:marBottom w:val="0"/>
              <w:divBdr>
                <w:top w:val="none" w:sz="0" w:space="0" w:color="auto"/>
                <w:left w:val="none" w:sz="0" w:space="0" w:color="auto"/>
                <w:bottom w:val="none" w:sz="0" w:space="0" w:color="auto"/>
                <w:right w:val="none" w:sz="0" w:space="0" w:color="auto"/>
              </w:divBdr>
              <w:divsChild>
                <w:div w:id="1393432180">
                  <w:marLeft w:val="0"/>
                  <w:marRight w:val="0"/>
                  <w:marTop w:val="0"/>
                  <w:marBottom w:val="0"/>
                  <w:divBdr>
                    <w:top w:val="none" w:sz="0" w:space="0" w:color="auto"/>
                    <w:left w:val="none" w:sz="0" w:space="0" w:color="auto"/>
                    <w:bottom w:val="none" w:sz="0" w:space="0" w:color="auto"/>
                    <w:right w:val="none" w:sz="0" w:space="0" w:color="auto"/>
                  </w:divBdr>
                  <w:divsChild>
                    <w:div w:id="1728723070">
                      <w:marLeft w:val="-300"/>
                      <w:marRight w:val="-300"/>
                      <w:marTop w:val="0"/>
                      <w:marBottom w:val="0"/>
                      <w:divBdr>
                        <w:top w:val="none" w:sz="0" w:space="0" w:color="auto"/>
                        <w:left w:val="none" w:sz="0" w:space="0" w:color="auto"/>
                        <w:bottom w:val="none" w:sz="0" w:space="0" w:color="auto"/>
                        <w:right w:val="none" w:sz="0" w:space="0" w:color="auto"/>
                      </w:divBdr>
                      <w:divsChild>
                        <w:div w:id="1559046393">
                          <w:marLeft w:val="0"/>
                          <w:marRight w:val="0"/>
                          <w:marTop w:val="0"/>
                          <w:marBottom w:val="0"/>
                          <w:divBdr>
                            <w:top w:val="none" w:sz="0" w:space="0" w:color="auto"/>
                            <w:left w:val="none" w:sz="0" w:space="0" w:color="auto"/>
                            <w:bottom w:val="none" w:sz="0" w:space="0" w:color="auto"/>
                            <w:right w:val="none" w:sz="0" w:space="0" w:color="auto"/>
                          </w:divBdr>
                          <w:divsChild>
                            <w:div w:id="2993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6866">
      <w:bodyDiv w:val="1"/>
      <w:marLeft w:val="0"/>
      <w:marRight w:val="0"/>
      <w:marTop w:val="0"/>
      <w:marBottom w:val="0"/>
      <w:divBdr>
        <w:top w:val="none" w:sz="0" w:space="0" w:color="auto"/>
        <w:left w:val="none" w:sz="0" w:space="0" w:color="auto"/>
        <w:bottom w:val="none" w:sz="0" w:space="0" w:color="auto"/>
        <w:right w:val="none" w:sz="0" w:space="0" w:color="auto"/>
      </w:divBdr>
      <w:divsChild>
        <w:div w:id="785126538">
          <w:marLeft w:val="0"/>
          <w:marRight w:val="0"/>
          <w:marTop w:val="0"/>
          <w:marBottom w:val="0"/>
          <w:divBdr>
            <w:top w:val="none" w:sz="0" w:space="0" w:color="auto"/>
            <w:left w:val="none" w:sz="0" w:space="0" w:color="auto"/>
            <w:bottom w:val="none" w:sz="0" w:space="0" w:color="auto"/>
            <w:right w:val="none" w:sz="0" w:space="0" w:color="auto"/>
          </w:divBdr>
          <w:divsChild>
            <w:div w:id="2135127576">
              <w:marLeft w:val="0"/>
              <w:marRight w:val="0"/>
              <w:marTop w:val="0"/>
              <w:marBottom w:val="0"/>
              <w:divBdr>
                <w:top w:val="none" w:sz="0" w:space="0" w:color="auto"/>
                <w:left w:val="none" w:sz="0" w:space="0" w:color="auto"/>
                <w:bottom w:val="none" w:sz="0" w:space="0" w:color="auto"/>
                <w:right w:val="none" w:sz="0" w:space="0" w:color="auto"/>
              </w:divBdr>
              <w:divsChild>
                <w:div w:id="70540778">
                  <w:marLeft w:val="0"/>
                  <w:marRight w:val="0"/>
                  <w:marTop w:val="0"/>
                  <w:marBottom w:val="0"/>
                  <w:divBdr>
                    <w:top w:val="none" w:sz="0" w:space="0" w:color="auto"/>
                    <w:left w:val="none" w:sz="0" w:space="0" w:color="auto"/>
                    <w:bottom w:val="none" w:sz="0" w:space="0" w:color="auto"/>
                    <w:right w:val="none" w:sz="0" w:space="0" w:color="auto"/>
                  </w:divBdr>
                  <w:divsChild>
                    <w:div w:id="394200571">
                      <w:marLeft w:val="-300"/>
                      <w:marRight w:val="-300"/>
                      <w:marTop w:val="0"/>
                      <w:marBottom w:val="0"/>
                      <w:divBdr>
                        <w:top w:val="none" w:sz="0" w:space="0" w:color="auto"/>
                        <w:left w:val="none" w:sz="0" w:space="0" w:color="auto"/>
                        <w:bottom w:val="none" w:sz="0" w:space="0" w:color="auto"/>
                        <w:right w:val="none" w:sz="0" w:space="0" w:color="auto"/>
                      </w:divBdr>
                      <w:divsChild>
                        <w:div w:id="1058935663">
                          <w:marLeft w:val="0"/>
                          <w:marRight w:val="0"/>
                          <w:marTop w:val="0"/>
                          <w:marBottom w:val="0"/>
                          <w:divBdr>
                            <w:top w:val="none" w:sz="0" w:space="0" w:color="auto"/>
                            <w:left w:val="none" w:sz="0" w:space="0" w:color="auto"/>
                            <w:bottom w:val="none" w:sz="0" w:space="0" w:color="auto"/>
                            <w:right w:val="none" w:sz="0" w:space="0" w:color="auto"/>
                          </w:divBdr>
                          <w:divsChild>
                            <w:div w:id="5590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COM005%20-%20Corporate\003%20-%20Corporate%20Identity\001%20-%20Word%20Templates\Word%20templates%202013\HRB%20MS%20Word%20document%20normal%20template%205%20March%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A58754AACDB4D84869E47D0FCBE42" ma:contentTypeVersion="0" ma:contentTypeDescription="Create a new document." ma:contentTypeScope="" ma:versionID="d53b5ec374aa4a361bb10c25f740abd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23B8-8A8A-42D1-ADAD-93D06E148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4A082F-FA05-4192-B4E4-65CFE5918AD4}">
  <ds:schemaRefs>
    <ds:schemaRef ds:uri="http://schemas.microsoft.com/sharepoint/v3/contenttype/forms"/>
  </ds:schemaRefs>
</ds:datastoreItem>
</file>

<file path=customXml/itemProps3.xml><?xml version="1.0" encoding="utf-8"?>
<ds:datastoreItem xmlns:ds="http://schemas.openxmlformats.org/officeDocument/2006/customXml" ds:itemID="{41F0F88C-0BD1-49B3-99B3-13E315CAFA10}">
  <ds:schemaRefs>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653B1DF-3813-444B-871A-F72CDEF1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MS Word document normal template 5 March 2013</Template>
  <TotalTime>0</TotalTime>
  <Pages>20</Pages>
  <Words>3314</Words>
  <Characters>18895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22165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Cummins</dc:creator>
  <cp:lastModifiedBy>Ger Casey-Lennon</cp:lastModifiedBy>
  <cp:revision>2</cp:revision>
  <cp:lastPrinted>2011-02-08T10:21:00Z</cp:lastPrinted>
  <dcterms:created xsi:type="dcterms:W3CDTF">2018-07-31T15:55:00Z</dcterms:created>
  <dcterms:modified xsi:type="dcterms:W3CDTF">2018-07-31T15:55:00Z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0x010100B21A58754AACDB4D84869E47D0FCBE42</vt:lpwstr>
  </property>
</Properties>
</file>