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CD" w:rsidRPr="009639CD" w:rsidRDefault="009639CD" w:rsidP="009639CD">
      <w:pPr>
        <w:pStyle w:val="Title"/>
      </w:pPr>
      <w:bookmarkStart w:id="0" w:name="_GoBack"/>
      <w:bookmarkEnd w:id="0"/>
      <w:r>
        <w:t>Successful Irish applicants to Horizon 2020 Health calls – 2016</w:t>
      </w:r>
    </w:p>
    <w:p w:rsidR="0069136A" w:rsidRPr="00831AB1" w:rsidRDefault="00831AB1" w:rsidP="009639CD">
      <w:pPr>
        <w:pStyle w:val="Heading1"/>
      </w:pPr>
      <w:r w:rsidRPr="00831AB1">
        <w:t>Single-Stage Health call including Coordinating and Supporting Actions</w:t>
      </w:r>
    </w:p>
    <w:p w:rsidR="00B00830" w:rsidRDefault="00B00830"/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6629"/>
        <w:gridCol w:w="2268"/>
        <w:gridCol w:w="2410"/>
        <w:gridCol w:w="3402"/>
      </w:tblGrid>
      <w:tr w:rsidR="00B00830" w:rsidTr="00C21C7F">
        <w:tc>
          <w:tcPr>
            <w:tcW w:w="6629" w:type="dxa"/>
          </w:tcPr>
          <w:p w:rsidR="00B00830" w:rsidRPr="0069136A" w:rsidRDefault="00B00830">
            <w:pPr>
              <w:rPr>
                <w:b/>
              </w:rPr>
            </w:pPr>
            <w:r w:rsidRPr="0069136A">
              <w:rPr>
                <w:b/>
              </w:rPr>
              <w:t>Project Title</w:t>
            </w:r>
          </w:p>
        </w:tc>
        <w:tc>
          <w:tcPr>
            <w:tcW w:w="2268" w:type="dxa"/>
          </w:tcPr>
          <w:p w:rsidR="00B00830" w:rsidRPr="0069136A" w:rsidRDefault="00B00830">
            <w:pPr>
              <w:rPr>
                <w:b/>
              </w:rPr>
            </w:pPr>
            <w:r w:rsidRPr="0069136A">
              <w:rPr>
                <w:b/>
              </w:rPr>
              <w:t>Project Acronym</w:t>
            </w:r>
          </w:p>
        </w:tc>
        <w:tc>
          <w:tcPr>
            <w:tcW w:w="2410" w:type="dxa"/>
          </w:tcPr>
          <w:p w:rsidR="00B00830" w:rsidRPr="0069136A" w:rsidRDefault="00B00830">
            <w:pPr>
              <w:rPr>
                <w:b/>
              </w:rPr>
            </w:pPr>
            <w:r w:rsidRPr="0069136A">
              <w:rPr>
                <w:b/>
              </w:rPr>
              <w:t>PI Name</w:t>
            </w:r>
          </w:p>
        </w:tc>
        <w:tc>
          <w:tcPr>
            <w:tcW w:w="3402" w:type="dxa"/>
          </w:tcPr>
          <w:p w:rsidR="00B00830" w:rsidRPr="0069136A" w:rsidRDefault="00B00830">
            <w:pPr>
              <w:rPr>
                <w:b/>
              </w:rPr>
            </w:pPr>
            <w:r w:rsidRPr="0069136A">
              <w:rPr>
                <w:b/>
              </w:rPr>
              <w:t>Institution/Business</w:t>
            </w:r>
          </w:p>
        </w:tc>
      </w:tr>
      <w:tr w:rsidR="00B00830" w:rsidTr="00C21C7F">
        <w:tc>
          <w:tcPr>
            <w:tcW w:w="6629" w:type="dxa"/>
          </w:tcPr>
          <w:p w:rsidR="00B00830" w:rsidRDefault="0069136A">
            <w:r>
              <w:t>Scaling up Safe Surgery for District and Rural Populations in Africa</w:t>
            </w:r>
          </w:p>
        </w:tc>
        <w:tc>
          <w:tcPr>
            <w:tcW w:w="2268" w:type="dxa"/>
          </w:tcPr>
          <w:p w:rsidR="00B00830" w:rsidRDefault="0069136A">
            <w:r>
              <w:t>SURG-Africa</w:t>
            </w:r>
          </w:p>
        </w:tc>
        <w:tc>
          <w:tcPr>
            <w:tcW w:w="2410" w:type="dxa"/>
          </w:tcPr>
          <w:p w:rsidR="00B00830" w:rsidRDefault="0069136A">
            <w:r>
              <w:t>Ruairi Brugha</w:t>
            </w:r>
          </w:p>
          <w:p w:rsidR="0069136A" w:rsidRDefault="0069136A">
            <w:r w:rsidRPr="0069136A">
              <w:rPr>
                <w:b/>
              </w:rPr>
              <w:t>(Coordinator)</w:t>
            </w:r>
          </w:p>
        </w:tc>
        <w:tc>
          <w:tcPr>
            <w:tcW w:w="3402" w:type="dxa"/>
          </w:tcPr>
          <w:p w:rsidR="00B00830" w:rsidRDefault="0069136A">
            <w:r>
              <w:t>Royal College of Surgeons in Ireland</w:t>
            </w:r>
          </w:p>
        </w:tc>
      </w:tr>
      <w:tr w:rsidR="00B00830" w:rsidTr="00C21C7F">
        <w:tc>
          <w:tcPr>
            <w:tcW w:w="6629" w:type="dxa"/>
          </w:tcPr>
          <w:p w:rsidR="00B00830" w:rsidRDefault="00A53291">
            <w:r>
              <w:t>Meaningful Integration of Data, Analytics and Services</w:t>
            </w:r>
          </w:p>
        </w:tc>
        <w:tc>
          <w:tcPr>
            <w:tcW w:w="2268" w:type="dxa"/>
          </w:tcPr>
          <w:p w:rsidR="00B00830" w:rsidRDefault="00A53291">
            <w:r>
              <w:t>MIDAS</w:t>
            </w:r>
          </w:p>
        </w:tc>
        <w:tc>
          <w:tcPr>
            <w:tcW w:w="2410" w:type="dxa"/>
          </w:tcPr>
          <w:p w:rsidR="00B00830" w:rsidRDefault="00092A5F">
            <w:r>
              <w:t>Paul Davis</w:t>
            </w:r>
          </w:p>
        </w:tc>
        <w:tc>
          <w:tcPr>
            <w:tcW w:w="3402" w:type="dxa"/>
          </w:tcPr>
          <w:p w:rsidR="00B00830" w:rsidRDefault="00A53291">
            <w:r>
              <w:t>DCU</w:t>
            </w:r>
          </w:p>
        </w:tc>
      </w:tr>
      <w:tr w:rsidR="00B00830" w:rsidTr="00C21C7F">
        <w:tc>
          <w:tcPr>
            <w:tcW w:w="6629" w:type="dxa"/>
          </w:tcPr>
          <w:p w:rsidR="00B00830" w:rsidRDefault="00B00830"/>
        </w:tc>
        <w:tc>
          <w:tcPr>
            <w:tcW w:w="2268" w:type="dxa"/>
          </w:tcPr>
          <w:p w:rsidR="00B00830" w:rsidRDefault="00B00830"/>
        </w:tc>
        <w:tc>
          <w:tcPr>
            <w:tcW w:w="2410" w:type="dxa"/>
          </w:tcPr>
          <w:p w:rsidR="00B00830" w:rsidRDefault="00092A5F">
            <w:r>
              <w:t>Patrick O’Sullivan</w:t>
            </w:r>
          </w:p>
        </w:tc>
        <w:tc>
          <w:tcPr>
            <w:tcW w:w="3402" w:type="dxa"/>
          </w:tcPr>
          <w:p w:rsidR="00B00830" w:rsidRDefault="00A53291">
            <w:r>
              <w:t>IBM Ireland</w:t>
            </w:r>
          </w:p>
        </w:tc>
      </w:tr>
      <w:tr w:rsidR="00B00830" w:rsidTr="00C21C7F">
        <w:tc>
          <w:tcPr>
            <w:tcW w:w="6629" w:type="dxa"/>
          </w:tcPr>
          <w:p w:rsidR="00B00830" w:rsidRDefault="00A41C95">
            <w:r>
              <w:t>Big data against childhood obesity</w:t>
            </w:r>
          </w:p>
        </w:tc>
        <w:tc>
          <w:tcPr>
            <w:tcW w:w="2268" w:type="dxa"/>
          </w:tcPr>
          <w:p w:rsidR="00B00830" w:rsidRDefault="00A53291">
            <w:r>
              <w:t>Big O</w:t>
            </w:r>
          </w:p>
        </w:tc>
        <w:tc>
          <w:tcPr>
            <w:tcW w:w="2410" w:type="dxa"/>
          </w:tcPr>
          <w:p w:rsidR="00B00830" w:rsidRDefault="00A41C95">
            <w:r>
              <w:t xml:space="preserve">Tahar </w:t>
            </w:r>
            <w:r w:rsidR="008169EF">
              <w:t>Kechadi</w:t>
            </w:r>
          </w:p>
        </w:tc>
        <w:tc>
          <w:tcPr>
            <w:tcW w:w="3402" w:type="dxa"/>
          </w:tcPr>
          <w:p w:rsidR="00B00830" w:rsidRDefault="00A53291">
            <w:r>
              <w:t>UCD</w:t>
            </w:r>
          </w:p>
        </w:tc>
      </w:tr>
      <w:tr w:rsidR="00B00830" w:rsidTr="00C21C7F">
        <w:tc>
          <w:tcPr>
            <w:tcW w:w="6629" w:type="dxa"/>
          </w:tcPr>
          <w:p w:rsidR="00B00830" w:rsidRDefault="00B00830"/>
        </w:tc>
        <w:tc>
          <w:tcPr>
            <w:tcW w:w="2268" w:type="dxa"/>
          </w:tcPr>
          <w:p w:rsidR="00B00830" w:rsidRDefault="00B00830"/>
        </w:tc>
        <w:tc>
          <w:tcPr>
            <w:tcW w:w="2410" w:type="dxa"/>
          </w:tcPr>
          <w:p w:rsidR="00B00830" w:rsidRDefault="00092A5F">
            <w:r>
              <w:t>Grace O’Malley</w:t>
            </w:r>
          </w:p>
        </w:tc>
        <w:tc>
          <w:tcPr>
            <w:tcW w:w="3402" w:type="dxa"/>
          </w:tcPr>
          <w:p w:rsidR="00B00830" w:rsidRDefault="00A53291">
            <w:r>
              <w:t>Childrens</w:t>
            </w:r>
            <w:r w:rsidR="00B70296">
              <w:t>’</w:t>
            </w:r>
            <w:r>
              <w:t xml:space="preserve"> University Hospital</w:t>
            </w:r>
          </w:p>
        </w:tc>
      </w:tr>
      <w:tr w:rsidR="00B00830" w:rsidTr="00C21C7F">
        <w:tc>
          <w:tcPr>
            <w:tcW w:w="6629" w:type="dxa"/>
          </w:tcPr>
          <w:p w:rsidR="00B00830" w:rsidRDefault="008169EF">
            <w:r>
              <w:t>Activating Innovative IoT smart living environment for Ageing well</w:t>
            </w:r>
          </w:p>
        </w:tc>
        <w:tc>
          <w:tcPr>
            <w:tcW w:w="2268" w:type="dxa"/>
          </w:tcPr>
          <w:p w:rsidR="00B00830" w:rsidRDefault="008169EF">
            <w:r>
              <w:t>Activage</w:t>
            </w:r>
          </w:p>
        </w:tc>
        <w:tc>
          <w:tcPr>
            <w:tcW w:w="2410" w:type="dxa"/>
          </w:tcPr>
          <w:p w:rsidR="00B00830" w:rsidRDefault="00092A5F">
            <w:r>
              <w:t>Martin Serrano</w:t>
            </w:r>
          </w:p>
        </w:tc>
        <w:tc>
          <w:tcPr>
            <w:tcW w:w="3402" w:type="dxa"/>
          </w:tcPr>
          <w:p w:rsidR="00B00830" w:rsidRDefault="008169EF">
            <w:r>
              <w:t>NUI Galway</w:t>
            </w:r>
          </w:p>
        </w:tc>
      </w:tr>
      <w:tr w:rsidR="00B00830" w:rsidTr="00C21C7F">
        <w:tc>
          <w:tcPr>
            <w:tcW w:w="6629" w:type="dxa"/>
          </w:tcPr>
          <w:p w:rsidR="00B00830" w:rsidRDefault="008169EF">
            <w:r>
              <w:t>Development of DIALIVE, a novel Liver Dialysis Device for the treatment of patients with acute or Chronic Liver Failure (ACLF)</w:t>
            </w:r>
          </w:p>
        </w:tc>
        <w:tc>
          <w:tcPr>
            <w:tcW w:w="2268" w:type="dxa"/>
          </w:tcPr>
          <w:p w:rsidR="00B00830" w:rsidRDefault="008169EF">
            <w:r>
              <w:t>Aliver</w:t>
            </w:r>
          </w:p>
        </w:tc>
        <w:tc>
          <w:tcPr>
            <w:tcW w:w="2410" w:type="dxa"/>
          </w:tcPr>
          <w:p w:rsidR="00B00830" w:rsidRPr="00092A5F" w:rsidRDefault="00092A5F">
            <w:pPr>
              <w:rPr>
                <w:rFonts w:cs="Tahoma"/>
                <w:szCs w:val="20"/>
              </w:rPr>
            </w:pPr>
            <w:r w:rsidRPr="00092A5F">
              <w:rPr>
                <w:rFonts w:cs="Tahoma"/>
                <w:szCs w:val="20"/>
              </w:rPr>
              <w:t>Moises Sanchez</w:t>
            </w:r>
          </w:p>
        </w:tc>
        <w:tc>
          <w:tcPr>
            <w:tcW w:w="3402" w:type="dxa"/>
          </w:tcPr>
          <w:p w:rsidR="00B00830" w:rsidRDefault="008169EF">
            <w:r>
              <w:t>IBM Ireland</w:t>
            </w:r>
          </w:p>
        </w:tc>
      </w:tr>
      <w:tr w:rsidR="00B00830" w:rsidTr="00C21C7F">
        <w:tc>
          <w:tcPr>
            <w:tcW w:w="6629" w:type="dxa"/>
          </w:tcPr>
          <w:p w:rsidR="00B00830" w:rsidRDefault="008169EF">
            <w:r>
              <w:t>Regenerative therapy of intervertebral disc: a double</w:t>
            </w:r>
            <w:r w:rsidR="00C21C7F">
              <w:t xml:space="preserve"> blind phase 2b trial of intradiscal injection of mesenchymal stromal cells in degenerative disc disease unresponsive to conventional therapy</w:t>
            </w:r>
          </w:p>
        </w:tc>
        <w:tc>
          <w:tcPr>
            <w:tcW w:w="2268" w:type="dxa"/>
          </w:tcPr>
          <w:p w:rsidR="00B00830" w:rsidRDefault="008169EF">
            <w:r>
              <w:t>RESPINE</w:t>
            </w:r>
          </w:p>
        </w:tc>
        <w:tc>
          <w:tcPr>
            <w:tcW w:w="2410" w:type="dxa"/>
          </w:tcPr>
          <w:p w:rsidR="00B00830" w:rsidRDefault="00C21C7F">
            <w:r>
              <w:t>Frank Barry</w:t>
            </w:r>
          </w:p>
        </w:tc>
        <w:tc>
          <w:tcPr>
            <w:tcW w:w="3402" w:type="dxa"/>
          </w:tcPr>
          <w:p w:rsidR="00B00830" w:rsidRDefault="00C21C7F">
            <w:r>
              <w:t>NUI Galway</w:t>
            </w:r>
          </w:p>
        </w:tc>
      </w:tr>
      <w:tr w:rsidR="00B00830" w:rsidTr="00C21C7F">
        <w:tc>
          <w:tcPr>
            <w:tcW w:w="6629" w:type="dxa"/>
          </w:tcPr>
          <w:p w:rsidR="00B00830" w:rsidRDefault="00C21C7F">
            <w:r>
              <w:t>Strengthening management at district level to support the achievement of Universal Health Coverage</w:t>
            </w:r>
          </w:p>
        </w:tc>
        <w:tc>
          <w:tcPr>
            <w:tcW w:w="2268" w:type="dxa"/>
          </w:tcPr>
          <w:p w:rsidR="00B00830" w:rsidRDefault="00C21C7F">
            <w:r>
              <w:t>Perform 2 scale</w:t>
            </w:r>
          </w:p>
        </w:tc>
        <w:tc>
          <w:tcPr>
            <w:tcW w:w="2410" w:type="dxa"/>
          </w:tcPr>
          <w:p w:rsidR="00B00830" w:rsidRDefault="00D97875">
            <w:r w:rsidRPr="00D97875">
              <w:t>Frédérique</w:t>
            </w:r>
            <w:r>
              <w:t xml:space="preserve"> </w:t>
            </w:r>
            <w:r w:rsidRPr="00D97875">
              <w:t>Vallières</w:t>
            </w:r>
          </w:p>
        </w:tc>
        <w:tc>
          <w:tcPr>
            <w:tcW w:w="3402" w:type="dxa"/>
          </w:tcPr>
          <w:p w:rsidR="00B00830" w:rsidRDefault="00C21C7F">
            <w:r>
              <w:t>TCD</w:t>
            </w:r>
          </w:p>
        </w:tc>
      </w:tr>
      <w:tr w:rsidR="00C21C7F" w:rsidTr="00C21C7F">
        <w:tc>
          <w:tcPr>
            <w:tcW w:w="6629" w:type="dxa"/>
          </w:tcPr>
          <w:p w:rsidR="00C21C7F" w:rsidRDefault="00C21C7F">
            <w:r>
              <w:t>European Biomonitoring Init</w:t>
            </w:r>
            <w:r w:rsidR="00B70296">
              <w:t>i</w:t>
            </w:r>
            <w:r>
              <w:t>ative</w:t>
            </w:r>
          </w:p>
        </w:tc>
        <w:tc>
          <w:tcPr>
            <w:tcW w:w="2268" w:type="dxa"/>
          </w:tcPr>
          <w:p w:rsidR="00C21C7F" w:rsidRDefault="00C21C7F">
            <w:r>
              <w:t>HBM4EU</w:t>
            </w:r>
          </w:p>
        </w:tc>
        <w:tc>
          <w:tcPr>
            <w:tcW w:w="2410" w:type="dxa"/>
          </w:tcPr>
          <w:p w:rsidR="00C21C7F" w:rsidRDefault="00C21C7F">
            <w:r>
              <w:t>Maurice Mulcahy</w:t>
            </w:r>
          </w:p>
        </w:tc>
        <w:tc>
          <w:tcPr>
            <w:tcW w:w="3402" w:type="dxa"/>
          </w:tcPr>
          <w:p w:rsidR="00C21C7F" w:rsidRDefault="00C21C7F">
            <w:r>
              <w:t>HSE</w:t>
            </w:r>
          </w:p>
        </w:tc>
      </w:tr>
      <w:tr w:rsidR="00C21C7F" w:rsidTr="00C21C7F">
        <w:tc>
          <w:tcPr>
            <w:tcW w:w="6629" w:type="dxa"/>
          </w:tcPr>
          <w:p w:rsidR="00C21C7F" w:rsidRDefault="00C21C7F">
            <w:r>
              <w:t>Improving digital health literacy in Europe</w:t>
            </w:r>
          </w:p>
        </w:tc>
        <w:tc>
          <w:tcPr>
            <w:tcW w:w="2268" w:type="dxa"/>
          </w:tcPr>
          <w:p w:rsidR="00C21C7F" w:rsidRDefault="00C21C7F">
            <w:r>
              <w:t>IC-Health</w:t>
            </w:r>
          </w:p>
        </w:tc>
        <w:tc>
          <w:tcPr>
            <w:tcW w:w="2410" w:type="dxa"/>
          </w:tcPr>
          <w:p w:rsidR="00C21C7F" w:rsidRDefault="00092A5F">
            <w:r>
              <w:t>Jeni Bremner</w:t>
            </w:r>
          </w:p>
        </w:tc>
        <w:tc>
          <w:tcPr>
            <w:tcW w:w="3402" w:type="dxa"/>
          </w:tcPr>
          <w:p w:rsidR="00C21C7F" w:rsidRDefault="00C21C7F">
            <w:r>
              <w:t>European Health Management Association</w:t>
            </w:r>
          </w:p>
        </w:tc>
      </w:tr>
      <w:tr w:rsidR="00C21C7F" w:rsidTr="00C21C7F">
        <w:tc>
          <w:tcPr>
            <w:tcW w:w="6629" w:type="dxa"/>
          </w:tcPr>
          <w:p w:rsidR="00C21C7F" w:rsidRDefault="00C21C7F">
            <w:r>
              <w:t>Transfer of Organisational innovations for resilient, effective, equitable, assessable, sustainable and comprehensive health services and systems</w:t>
            </w:r>
          </w:p>
        </w:tc>
        <w:tc>
          <w:tcPr>
            <w:tcW w:w="2268" w:type="dxa"/>
          </w:tcPr>
          <w:p w:rsidR="00C21C7F" w:rsidRDefault="00C21C7F">
            <w:r>
              <w:t>TO-REACH</w:t>
            </w:r>
          </w:p>
        </w:tc>
        <w:tc>
          <w:tcPr>
            <w:tcW w:w="2410" w:type="dxa"/>
          </w:tcPr>
          <w:p w:rsidR="00C21C7F" w:rsidRDefault="00C21C7F">
            <w:r>
              <w:t>Donna Tedstone</w:t>
            </w:r>
          </w:p>
        </w:tc>
        <w:tc>
          <w:tcPr>
            <w:tcW w:w="3402" w:type="dxa"/>
          </w:tcPr>
          <w:p w:rsidR="00C21C7F" w:rsidRDefault="00C21C7F">
            <w:r>
              <w:t>Health Research Board</w:t>
            </w:r>
          </w:p>
        </w:tc>
      </w:tr>
      <w:tr w:rsidR="00C21C7F" w:rsidTr="00C21C7F">
        <w:tc>
          <w:tcPr>
            <w:tcW w:w="6629" w:type="dxa"/>
          </w:tcPr>
          <w:p w:rsidR="00C21C7F" w:rsidRDefault="00C21C7F"/>
        </w:tc>
        <w:tc>
          <w:tcPr>
            <w:tcW w:w="2268" w:type="dxa"/>
          </w:tcPr>
          <w:p w:rsidR="00C21C7F" w:rsidRDefault="00C21C7F"/>
        </w:tc>
        <w:tc>
          <w:tcPr>
            <w:tcW w:w="2410" w:type="dxa"/>
          </w:tcPr>
          <w:p w:rsidR="00C21C7F" w:rsidRDefault="00092A5F">
            <w:r>
              <w:t>Jeni Bremner</w:t>
            </w:r>
          </w:p>
        </w:tc>
        <w:tc>
          <w:tcPr>
            <w:tcW w:w="3402" w:type="dxa"/>
          </w:tcPr>
          <w:p w:rsidR="00C21C7F" w:rsidRDefault="00C21C7F">
            <w:r>
              <w:t>European Health Management Association</w:t>
            </w:r>
          </w:p>
        </w:tc>
      </w:tr>
      <w:tr w:rsidR="00C21C7F" w:rsidTr="00C21C7F">
        <w:tc>
          <w:tcPr>
            <w:tcW w:w="6629" w:type="dxa"/>
          </w:tcPr>
          <w:p w:rsidR="00C21C7F" w:rsidRDefault="00980FCE">
            <w:r>
              <w:t>A multicentre ph</w:t>
            </w:r>
            <w:r w:rsidR="00B70296">
              <w:t>ase IIb study using HLA-unmatch</w:t>
            </w:r>
            <w:r>
              <w:t>ed allogeneic placenta-derived st</w:t>
            </w:r>
            <w:r w:rsidR="00B70296">
              <w:t>r</w:t>
            </w:r>
            <w:r>
              <w:t>omal cells (PLX-PAD) fo</w:t>
            </w:r>
            <w:r w:rsidR="00B70296">
              <w:t>r the treatment of severe criti</w:t>
            </w:r>
            <w:r>
              <w:t>cal limb ischemia accompanied by mechanistic studies</w:t>
            </w:r>
          </w:p>
        </w:tc>
        <w:tc>
          <w:tcPr>
            <w:tcW w:w="2268" w:type="dxa"/>
          </w:tcPr>
          <w:p w:rsidR="00C21C7F" w:rsidRDefault="00980FCE">
            <w:r>
              <w:t>PACE</w:t>
            </w:r>
          </w:p>
        </w:tc>
        <w:tc>
          <w:tcPr>
            <w:tcW w:w="2410" w:type="dxa"/>
          </w:tcPr>
          <w:p w:rsidR="00C21C7F" w:rsidRDefault="00C21C7F"/>
        </w:tc>
        <w:tc>
          <w:tcPr>
            <w:tcW w:w="3402" w:type="dxa"/>
          </w:tcPr>
          <w:p w:rsidR="00C21C7F" w:rsidRDefault="00980FCE">
            <w:r>
              <w:t>Icon Clinical Research</w:t>
            </w:r>
          </w:p>
        </w:tc>
      </w:tr>
      <w:tr w:rsidR="00980FCE" w:rsidTr="00C21C7F">
        <w:tc>
          <w:tcPr>
            <w:tcW w:w="6629" w:type="dxa"/>
          </w:tcPr>
          <w:p w:rsidR="00980FCE" w:rsidRDefault="00980FCE">
            <w:r>
              <w:t>Paediatric Clinical Research Infrastructure Network</w:t>
            </w:r>
          </w:p>
        </w:tc>
        <w:tc>
          <w:tcPr>
            <w:tcW w:w="2268" w:type="dxa"/>
          </w:tcPr>
          <w:p w:rsidR="00980FCE" w:rsidRDefault="00980FCE">
            <w:r>
              <w:t>PedCRIN</w:t>
            </w:r>
          </w:p>
        </w:tc>
        <w:tc>
          <w:tcPr>
            <w:tcW w:w="2410" w:type="dxa"/>
          </w:tcPr>
          <w:p w:rsidR="00980FCE" w:rsidRDefault="00887712">
            <w:r>
              <w:t>Mary Costello</w:t>
            </w:r>
          </w:p>
        </w:tc>
        <w:tc>
          <w:tcPr>
            <w:tcW w:w="3402" w:type="dxa"/>
          </w:tcPr>
          <w:p w:rsidR="00980FCE" w:rsidRDefault="00980FCE">
            <w:r>
              <w:t>The National Children’s Research Centre</w:t>
            </w:r>
          </w:p>
        </w:tc>
      </w:tr>
    </w:tbl>
    <w:p w:rsidR="00831AB1" w:rsidRDefault="009639CD" w:rsidP="009639CD">
      <w:pPr>
        <w:pStyle w:val="Heading1"/>
      </w:pPr>
      <w:r w:rsidRPr="00980FCE">
        <w:lastRenderedPageBreak/>
        <w:t>SME Instrument Phase 2</w:t>
      </w:r>
    </w:p>
    <w:p w:rsidR="009639CD" w:rsidRPr="009639CD" w:rsidRDefault="009639CD" w:rsidP="009639CD"/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6629"/>
        <w:gridCol w:w="2268"/>
        <w:gridCol w:w="2410"/>
        <w:gridCol w:w="3402"/>
      </w:tblGrid>
      <w:tr w:rsidR="00980FCE" w:rsidTr="00C21C7F">
        <w:tc>
          <w:tcPr>
            <w:tcW w:w="6629" w:type="dxa"/>
          </w:tcPr>
          <w:p w:rsidR="00980FCE" w:rsidRPr="00980FCE" w:rsidRDefault="009639CD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2268" w:type="dxa"/>
          </w:tcPr>
          <w:p w:rsidR="00980FCE" w:rsidRDefault="00980FCE"/>
        </w:tc>
        <w:tc>
          <w:tcPr>
            <w:tcW w:w="2410" w:type="dxa"/>
          </w:tcPr>
          <w:p w:rsidR="00980FCE" w:rsidRDefault="00980FCE"/>
        </w:tc>
        <w:tc>
          <w:tcPr>
            <w:tcW w:w="3402" w:type="dxa"/>
          </w:tcPr>
          <w:p w:rsidR="00980FCE" w:rsidRDefault="00980FCE"/>
        </w:tc>
      </w:tr>
      <w:tr w:rsidR="00980FCE" w:rsidTr="00C21C7F">
        <w:tc>
          <w:tcPr>
            <w:tcW w:w="6629" w:type="dxa"/>
          </w:tcPr>
          <w:p w:rsidR="00980FCE" w:rsidRDefault="00980FCE">
            <w:r>
              <w:t>Synchrotron Miniaturization enabling Innovative Laboratory equipment in soft</w:t>
            </w:r>
            <w:r w:rsidR="00B70296">
              <w:t xml:space="preserve"> </w:t>
            </w:r>
            <w:r>
              <w:t>x-ray tomography</w:t>
            </w:r>
          </w:p>
        </w:tc>
        <w:tc>
          <w:tcPr>
            <w:tcW w:w="2268" w:type="dxa"/>
          </w:tcPr>
          <w:p w:rsidR="00980FCE" w:rsidRDefault="00980FCE">
            <w:r>
              <w:t>SMILE</w:t>
            </w:r>
          </w:p>
        </w:tc>
        <w:tc>
          <w:tcPr>
            <w:tcW w:w="2410" w:type="dxa"/>
          </w:tcPr>
          <w:p w:rsidR="00980FCE" w:rsidRDefault="00A22D3C">
            <w:r>
              <w:t>Tony McEnroe</w:t>
            </w:r>
          </w:p>
        </w:tc>
        <w:tc>
          <w:tcPr>
            <w:tcW w:w="3402" w:type="dxa"/>
          </w:tcPr>
          <w:p w:rsidR="00980FCE" w:rsidRDefault="00980FCE">
            <w:r>
              <w:t>SiriusXT</w:t>
            </w:r>
          </w:p>
        </w:tc>
      </w:tr>
      <w:tr w:rsidR="00980FCE" w:rsidTr="00C21C7F">
        <w:tc>
          <w:tcPr>
            <w:tcW w:w="6629" w:type="dxa"/>
          </w:tcPr>
          <w:p w:rsidR="00980FCE" w:rsidRDefault="00980FCE"/>
        </w:tc>
        <w:tc>
          <w:tcPr>
            <w:tcW w:w="2268" w:type="dxa"/>
          </w:tcPr>
          <w:p w:rsidR="00980FCE" w:rsidRDefault="00980FCE"/>
        </w:tc>
        <w:tc>
          <w:tcPr>
            <w:tcW w:w="2410" w:type="dxa"/>
          </w:tcPr>
          <w:p w:rsidR="00980FCE" w:rsidRDefault="00980FCE"/>
        </w:tc>
        <w:tc>
          <w:tcPr>
            <w:tcW w:w="3402" w:type="dxa"/>
          </w:tcPr>
          <w:p w:rsidR="00980FCE" w:rsidRDefault="00980FCE"/>
        </w:tc>
      </w:tr>
    </w:tbl>
    <w:p w:rsidR="00B00830" w:rsidRDefault="00B00830"/>
    <w:sectPr w:rsidR="00B00830" w:rsidSect="008169EF">
      <w:headerReference w:type="default" r:id="rId8"/>
      <w:footerReference w:type="default" r:id="rId9"/>
      <w:pgSz w:w="16840" w:h="11907" w:orient="landscape" w:code="9"/>
      <w:pgMar w:top="1077" w:right="1440" w:bottom="1077" w:left="1440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71" w:rsidRDefault="00114471" w:rsidP="009639CD">
      <w:r>
        <w:separator/>
      </w:r>
    </w:p>
  </w:endnote>
  <w:endnote w:type="continuationSeparator" w:id="0">
    <w:p w:rsidR="00114471" w:rsidRDefault="00114471" w:rsidP="0096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05908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E62D8" w:rsidRDefault="00114471" w:rsidP="009639CD">
            <w:pPr>
              <w:pStyle w:val="Footer"/>
              <w:jc w:val="center"/>
            </w:pPr>
            <w:hyperlink r:id="rId1" w:history="1">
              <w:r w:rsidR="009639CD" w:rsidRPr="009D7615">
                <w:rPr>
                  <w:rStyle w:val="Hyperlink"/>
                </w:rPr>
                <w:t>www.hrb.ie</w:t>
              </w:r>
            </w:hyperlink>
            <w:r w:rsidR="009639CD">
              <w:tab/>
            </w:r>
            <w:r w:rsidR="00BE62D8">
              <w:t xml:space="preserve">                                                           </w:t>
            </w:r>
            <w:r w:rsidR="009639CD">
              <w:tab/>
              <w:t xml:space="preserve">Successful Irish applicants to H2020 Health calls – 2016 </w:t>
            </w:r>
          </w:p>
          <w:p w:rsidR="009639CD" w:rsidRDefault="00BE62D8" w:rsidP="009639CD">
            <w:pPr>
              <w:pStyle w:val="Footer"/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639CD">
              <w:t xml:space="preserve">Page </w:t>
            </w:r>
            <w:r w:rsidR="009639CD">
              <w:rPr>
                <w:b/>
                <w:bCs/>
                <w:sz w:val="24"/>
                <w:szCs w:val="24"/>
              </w:rPr>
              <w:fldChar w:fldCharType="begin"/>
            </w:r>
            <w:r w:rsidR="009639CD">
              <w:rPr>
                <w:b/>
                <w:bCs/>
              </w:rPr>
              <w:instrText xml:space="preserve"> PAGE </w:instrText>
            </w:r>
            <w:r w:rsidR="009639CD">
              <w:rPr>
                <w:b/>
                <w:bCs/>
                <w:sz w:val="24"/>
                <w:szCs w:val="24"/>
              </w:rPr>
              <w:fldChar w:fldCharType="separate"/>
            </w:r>
            <w:r w:rsidR="00D82716">
              <w:rPr>
                <w:b/>
                <w:bCs/>
                <w:noProof/>
              </w:rPr>
              <w:t>1</w:t>
            </w:r>
            <w:r w:rsidR="009639CD">
              <w:rPr>
                <w:b/>
                <w:bCs/>
                <w:sz w:val="24"/>
                <w:szCs w:val="24"/>
              </w:rPr>
              <w:fldChar w:fldCharType="end"/>
            </w:r>
            <w:r w:rsidR="009639CD">
              <w:t xml:space="preserve"> of </w:t>
            </w:r>
            <w:r w:rsidR="009639CD">
              <w:rPr>
                <w:b/>
                <w:bCs/>
                <w:sz w:val="24"/>
                <w:szCs w:val="24"/>
              </w:rPr>
              <w:fldChar w:fldCharType="begin"/>
            </w:r>
            <w:r w:rsidR="009639CD">
              <w:rPr>
                <w:b/>
                <w:bCs/>
              </w:rPr>
              <w:instrText xml:space="preserve"> NUMPAGES  </w:instrText>
            </w:r>
            <w:r w:rsidR="009639CD">
              <w:rPr>
                <w:b/>
                <w:bCs/>
                <w:sz w:val="24"/>
                <w:szCs w:val="24"/>
              </w:rPr>
              <w:fldChar w:fldCharType="separate"/>
            </w:r>
            <w:r w:rsidR="00D82716">
              <w:rPr>
                <w:b/>
                <w:bCs/>
                <w:noProof/>
              </w:rPr>
              <w:t>2</w:t>
            </w:r>
            <w:r w:rsidR="009639C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p w:rsidR="009639CD" w:rsidRDefault="00114471">
        <w:pPr>
          <w:pStyle w:val="Footer"/>
          <w:jc w:val="right"/>
        </w:pPr>
      </w:p>
    </w:sdtContent>
  </w:sdt>
  <w:p w:rsidR="009639CD" w:rsidRDefault="00963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71" w:rsidRDefault="00114471" w:rsidP="009639CD">
      <w:r>
        <w:separator/>
      </w:r>
    </w:p>
  </w:footnote>
  <w:footnote w:type="continuationSeparator" w:id="0">
    <w:p w:rsidR="00114471" w:rsidRDefault="00114471" w:rsidP="0096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CD" w:rsidRDefault="009639CD" w:rsidP="009639CD">
    <w:pPr>
      <w:pStyle w:val="Header"/>
      <w:jc w:val="right"/>
    </w:pPr>
    <w:r w:rsidRPr="00185F88">
      <w:rPr>
        <w:rFonts w:asciiTheme="minorHAnsi" w:hAnsiTheme="minorHAnsi"/>
        <w:noProof/>
        <w:color w:val="333333"/>
        <w:sz w:val="22"/>
        <w:lang w:val="en-US"/>
      </w:rPr>
      <w:drawing>
        <wp:anchor distT="0" distB="0" distL="114300" distR="114300" simplePos="0" relativeHeight="251659264" behindDoc="1" locked="0" layoutInCell="1" allowOverlap="1" wp14:anchorId="68D63432" wp14:editId="7C9D3FBF">
          <wp:simplePos x="0" y="0"/>
          <wp:positionH relativeFrom="column">
            <wp:posOffset>7115175</wp:posOffset>
          </wp:positionH>
          <wp:positionV relativeFrom="paragraph">
            <wp:posOffset>-107315</wp:posOffset>
          </wp:positionV>
          <wp:extent cx="1906270" cy="758825"/>
          <wp:effectExtent l="0" t="0" r="0" b="3175"/>
          <wp:wrapTight wrapText="bothSides">
            <wp:wrapPolygon edited="0">
              <wp:start x="0" y="0"/>
              <wp:lineTo x="0" y="21148"/>
              <wp:lineTo x="21370" y="21148"/>
              <wp:lineTo x="21370" y="0"/>
              <wp:lineTo x="0" y="0"/>
            </wp:wrapPolygon>
          </wp:wrapTight>
          <wp:docPr id="1" name="Picture 1" descr="HRB logo - blue text on a whit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B logo - blue text on a white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FB"/>
    <w:rsid w:val="00092A5F"/>
    <w:rsid w:val="00114471"/>
    <w:rsid w:val="001A67E3"/>
    <w:rsid w:val="00256AFB"/>
    <w:rsid w:val="002F0158"/>
    <w:rsid w:val="003C4E75"/>
    <w:rsid w:val="0069136A"/>
    <w:rsid w:val="007E102B"/>
    <w:rsid w:val="008169EF"/>
    <w:rsid w:val="008179E6"/>
    <w:rsid w:val="00831AB1"/>
    <w:rsid w:val="00887712"/>
    <w:rsid w:val="009639CD"/>
    <w:rsid w:val="00980FCE"/>
    <w:rsid w:val="00A22D3C"/>
    <w:rsid w:val="00A41C95"/>
    <w:rsid w:val="00A53291"/>
    <w:rsid w:val="00B00830"/>
    <w:rsid w:val="00B70296"/>
    <w:rsid w:val="00BE62D8"/>
    <w:rsid w:val="00C21C7F"/>
    <w:rsid w:val="00D82716"/>
    <w:rsid w:val="00D97875"/>
    <w:rsid w:val="00ED1FFF"/>
    <w:rsid w:val="00F1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E6"/>
    <w:rPr>
      <w:rFonts w:ascii="Tahoma" w:hAnsi="Tahoma"/>
      <w:sz w:val="20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9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9E6"/>
    <w:rPr>
      <w:rFonts w:ascii="Tahoma" w:hAnsi="Tahoma"/>
      <w:sz w:val="20"/>
    </w:rPr>
  </w:style>
  <w:style w:type="table" w:styleId="TableGrid">
    <w:name w:val="Table Grid"/>
    <w:basedOn w:val="TableNormal"/>
    <w:uiPriority w:val="59"/>
    <w:rsid w:val="00B0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9CD"/>
    <w:rPr>
      <w:rFonts w:ascii="Tahoma" w:hAnsi="Tahoma"/>
      <w:sz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963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9CD"/>
    <w:rPr>
      <w:rFonts w:ascii="Tahoma" w:hAnsi="Tahoma"/>
      <w:sz w:val="20"/>
      <w:lang w:val="en-IE"/>
    </w:rPr>
  </w:style>
  <w:style w:type="character" w:styleId="Hyperlink">
    <w:name w:val="Hyperlink"/>
    <w:basedOn w:val="DefaultParagraphFont"/>
    <w:uiPriority w:val="99"/>
    <w:unhideWhenUsed/>
    <w:rsid w:val="009639C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639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963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BE6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2D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2D8"/>
    <w:rPr>
      <w:rFonts w:ascii="Tahoma" w:hAnsi="Tahoma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2D8"/>
    <w:rPr>
      <w:rFonts w:ascii="Tahoma" w:hAnsi="Tahoma"/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2D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D8"/>
    <w:rPr>
      <w:rFonts w:ascii="Tahom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E6"/>
    <w:rPr>
      <w:rFonts w:ascii="Tahoma" w:hAnsi="Tahoma"/>
      <w:sz w:val="20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9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9E6"/>
    <w:rPr>
      <w:rFonts w:ascii="Tahoma" w:hAnsi="Tahoma"/>
      <w:sz w:val="20"/>
    </w:rPr>
  </w:style>
  <w:style w:type="table" w:styleId="TableGrid">
    <w:name w:val="Table Grid"/>
    <w:basedOn w:val="TableNormal"/>
    <w:uiPriority w:val="59"/>
    <w:rsid w:val="00B0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9CD"/>
    <w:rPr>
      <w:rFonts w:ascii="Tahoma" w:hAnsi="Tahoma"/>
      <w:sz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963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9CD"/>
    <w:rPr>
      <w:rFonts w:ascii="Tahoma" w:hAnsi="Tahoma"/>
      <w:sz w:val="20"/>
      <w:lang w:val="en-IE"/>
    </w:rPr>
  </w:style>
  <w:style w:type="character" w:styleId="Hyperlink">
    <w:name w:val="Hyperlink"/>
    <w:basedOn w:val="DefaultParagraphFont"/>
    <w:uiPriority w:val="99"/>
    <w:unhideWhenUsed/>
    <w:rsid w:val="009639C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639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963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BE6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2D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2D8"/>
    <w:rPr>
      <w:rFonts w:ascii="Tahoma" w:hAnsi="Tahoma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2D8"/>
    <w:rPr>
      <w:rFonts w:ascii="Tahoma" w:hAnsi="Tahoma"/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2D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D8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b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1E2D-2D20-49EF-8FD9-DD903D3E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C37A83A4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Research Board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Duggan-Walls</dc:creator>
  <cp:lastModifiedBy>Therese Lynn</cp:lastModifiedBy>
  <cp:revision>2</cp:revision>
  <cp:lastPrinted>2017-01-20T14:11:00Z</cp:lastPrinted>
  <dcterms:created xsi:type="dcterms:W3CDTF">2018-01-22T10:29:00Z</dcterms:created>
  <dcterms:modified xsi:type="dcterms:W3CDTF">2018-01-22T10:29:00Z</dcterms:modified>
</cp:coreProperties>
</file>