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4948" w14:textId="77777777" w:rsidR="0081122B" w:rsidRDefault="0081122B" w:rsidP="0081122B"/>
    <w:p w14:paraId="2B061464" w14:textId="77777777" w:rsidR="0081122B" w:rsidRPr="007B542B" w:rsidRDefault="0081122B" w:rsidP="0081122B">
      <w:r>
        <w:rPr>
          <w:noProof/>
          <w:lang w:eastAsia="en-IE"/>
        </w:rPr>
        <w:drawing>
          <wp:inline distT="0" distB="0" distL="0" distR="0" wp14:anchorId="3F6FF4A0" wp14:editId="4CB0F34F">
            <wp:extent cx="1699260" cy="762000"/>
            <wp:effectExtent l="0" t="0" r="0" b="0"/>
            <wp:docPr id="6" name="Picture 6" descr="cid:image001.jpg@01D2D2FC.405DDB10"/>
            <wp:cNvGraphicFramePr/>
            <a:graphic xmlns:a="http://schemas.openxmlformats.org/drawingml/2006/main">
              <a:graphicData uri="http://schemas.openxmlformats.org/drawingml/2006/picture">
                <pic:pic xmlns:pic="http://schemas.openxmlformats.org/drawingml/2006/picture">
                  <pic:nvPicPr>
                    <pic:cNvPr id="1" name="Picture 1" descr="cid:image001.jpg@01D2D2FC.405DDB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076" cy="763263"/>
                    </a:xfrm>
                    <a:prstGeom prst="rect">
                      <a:avLst/>
                    </a:prstGeom>
                    <a:noFill/>
                    <a:ln>
                      <a:noFill/>
                    </a:ln>
                  </pic:spPr>
                </pic:pic>
              </a:graphicData>
            </a:graphic>
          </wp:inline>
        </w:drawing>
      </w:r>
    </w:p>
    <w:p w14:paraId="234913E0" w14:textId="77777777" w:rsidR="0081122B" w:rsidRPr="007B542B" w:rsidRDefault="0081122B" w:rsidP="0081122B"/>
    <w:p w14:paraId="458C4028" w14:textId="77777777" w:rsidR="0081122B" w:rsidRPr="007B542B" w:rsidRDefault="0081122B" w:rsidP="0081122B">
      <w:pPr>
        <w:jc w:val="right"/>
        <w:rPr>
          <w:b/>
          <w:u w:val="single"/>
        </w:rPr>
      </w:pPr>
    </w:p>
    <w:p w14:paraId="308618D2" w14:textId="77777777" w:rsidR="0081122B" w:rsidRPr="007B542B" w:rsidRDefault="0081122B" w:rsidP="0081122B">
      <w:pPr>
        <w:jc w:val="right"/>
        <w:rPr>
          <w:b/>
        </w:rPr>
      </w:pPr>
    </w:p>
    <w:p w14:paraId="059FA044" w14:textId="1A89E776" w:rsidR="00195DFE" w:rsidRDefault="00195DFE" w:rsidP="00195DFE">
      <w:pPr>
        <w:spacing w:after="0"/>
        <w:rPr>
          <w:color w:val="2F5496" w:themeColor="accent1" w:themeShade="BF"/>
          <w:sz w:val="48"/>
          <w:szCs w:val="48"/>
        </w:rPr>
      </w:pPr>
    </w:p>
    <w:p w14:paraId="0EA34DD0" w14:textId="63F51CEB" w:rsidR="0081122B" w:rsidRPr="00195DFE" w:rsidRDefault="00195DFE" w:rsidP="0081122B">
      <w:pPr>
        <w:rPr>
          <w:color w:val="2F5496" w:themeColor="accent1" w:themeShade="BF"/>
          <w:sz w:val="48"/>
          <w:szCs w:val="48"/>
        </w:rPr>
      </w:pPr>
      <w:r>
        <w:rPr>
          <w:color w:val="2F5496" w:themeColor="accent1" w:themeShade="BF"/>
          <w:sz w:val="48"/>
          <w:szCs w:val="48"/>
        </w:rPr>
        <w:t>Protected Disclosures Policy</w:t>
      </w:r>
    </w:p>
    <w:p w14:paraId="29ECCEAD" w14:textId="71973914" w:rsidR="0081122B" w:rsidRPr="007B542B" w:rsidRDefault="0081122B" w:rsidP="00195DFE">
      <w:pPr>
        <w:rPr>
          <w:rFonts w:asciiTheme="majorHAnsi" w:hAnsiTheme="majorHAnsi"/>
          <w:b/>
          <w:sz w:val="28"/>
          <w:szCs w:val="28"/>
        </w:rPr>
      </w:pPr>
    </w:p>
    <w:p w14:paraId="7CC17978" w14:textId="0798C13C" w:rsidR="0081122B" w:rsidRDefault="0081122B" w:rsidP="0081122B"/>
    <w:p w14:paraId="0A39DEB0" w14:textId="03E0790F" w:rsidR="002B3F5B" w:rsidRDefault="00195DFE" w:rsidP="00195DFE">
      <w:pPr>
        <w:jc w:val="center"/>
      </w:pPr>
      <w:bookmarkStart w:id="0" w:name="_Hlk33216006"/>
      <w:r>
        <w:rPr>
          <w:noProof/>
          <w:lang w:eastAsia="en-IE"/>
        </w:rPr>
        <w:drawing>
          <wp:inline distT="0" distB="0" distL="0" distR="0" wp14:anchorId="5590F855" wp14:editId="3593C473">
            <wp:extent cx="4371975" cy="36555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647" cy="3672788"/>
                    </a:xfrm>
                    <a:prstGeom prst="rect">
                      <a:avLst/>
                    </a:prstGeom>
                    <a:noFill/>
                  </pic:spPr>
                </pic:pic>
              </a:graphicData>
            </a:graphic>
          </wp:inline>
        </w:drawing>
      </w:r>
    </w:p>
    <w:p w14:paraId="26B1020A" w14:textId="0DA12721" w:rsidR="002B3F5B" w:rsidRDefault="002B3F5B" w:rsidP="0081122B"/>
    <w:p w14:paraId="7A66D8DA" w14:textId="648A1C60" w:rsidR="00195DFE" w:rsidRDefault="00195DFE" w:rsidP="0081122B"/>
    <w:p w14:paraId="216F6E1C" w14:textId="5774CDC6" w:rsidR="00195DFE" w:rsidRDefault="00195DFE" w:rsidP="0081122B"/>
    <w:p w14:paraId="3706FFAB" w14:textId="77777777" w:rsidR="00195DFE" w:rsidRPr="007B542B" w:rsidRDefault="00195DFE" w:rsidP="0081122B"/>
    <w:bookmarkEnd w:id="0"/>
    <w:p w14:paraId="1B263C1D" w14:textId="77777777" w:rsidR="0081122B" w:rsidRPr="007B542B" w:rsidRDefault="0081122B" w:rsidP="0081122B"/>
    <w:p w14:paraId="24DCD9BC" w14:textId="77777777" w:rsidR="0081122B" w:rsidRDefault="0081122B" w:rsidP="0081122B">
      <w:pPr>
        <w:sectPr w:rsidR="0081122B" w:rsidSect="0081122B">
          <w:headerReference w:type="default" r:id="rId13"/>
          <w:footerReference w:type="default" r:id="rId14"/>
          <w:pgSz w:w="11906" w:h="16838"/>
          <w:pgMar w:top="1440" w:right="1440" w:bottom="1440" w:left="1440" w:header="708" w:footer="708" w:gutter="0"/>
          <w:pgNumType w:start="1"/>
          <w:cols w:space="708"/>
          <w:docGrid w:linePitch="360"/>
        </w:sectPr>
      </w:pPr>
    </w:p>
    <w:p w14:paraId="4799D9C9" w14:textId="77777777" w:rsidR="0081122B" w:rsidRPr="007B542B" w:rsidRDefault="0081122B" w:rsidP="0081122B"/>
    <w:sdt>
      <w:sdtPr>
        <w:id w:val="94584110"/>
        <w:docPartObj>
          <w:docPartGallery w:val="Table of Contents"/>
          <w:docPartUnique/>
        </w:docPartObj>
      </w:sdtPr>
      <w:sdtEndPr/>
      <w:sdtContent>
        <w:p w14:paraId="7444E1B6" w14:textId="77777777" w:rsidR="0081122B" w:rsidRPr="002E0CC5" w:rsidRDefault="0081122B" w:rsidP="002E0CC5">
          <w:r w:rsidRPr="002E0CC5">
            <w:t>Contents</w:t>
          </w:r>
        </w:p>
        <w:p w14:paraId="7391DC0B" w14:textId="79F3D6DC" w:rsidR="00C338EE" w:rsidRDefault="0081122B">
          <w:pPr>
            <w:pStyle w:val="TOC1"/>
            <w:tabs>
              <w:tab w:val="left" w:pos="440"/>
              <w:tab w:val="right" w:leader="dot" w:pos="9016"/>
            </w:tabs>
            <w:rPr>
              <w:rFonts w:eastAsiaTheme="minorEastAsia"/>
              <w:noProof/>
              <w:lang w:eastAsia="en-IE"/>
            </w:rPr>
          </w:pPr>
          <w:r w:rsidRPr="007B542B">
            <w:rPr>
              <w:rFonts w:eastAsia="Times New Roman" w:cs="Tahoma"/>
              <w:noProof/>
              <w:lang w:val="en" w:eastAsia="en-IE"/>
            </w:rPr>
            <w:fldChar w:fldCharType="begin"/>
          </w:r>
          <w:r w:rsidRPr="007B542B">
            <w:instrText xml:space="preserve"> TOC \o "1-3" \h \z \u </w:instrText>
          </w:r>
          <w:r w:rsidRPr="007B542B">
            <w:rPr>
              <w:rFonts w:eastAsia="Times New Roman" w:cs="Tahoma"/>
              <w:noProof/>
              <w:lang w:val="en" w:eastAsia="en-IE"/>
            </w:rPr>
            <w:fldChar w:fldCharType="separate"/>
          </w:r>
          <w:hyperlink w:anchor="_Toc120448333" w:history="1">
            <w:r w:rsidR="00C338EE" w:rsidRPr="0071279B">
              <w:rPr>
                <w:rStyle w:val="Hyperlink"/>
                <w:noProof/>
                <w:color w:val="034990" w:themeColor="hyperlink" w:themeShade="BF"/>
              </w:rPr>
              <w:t>1.</w:t>
            </w:r>
            <w:r w:rsidR="00C338EE">
              <w:rPr>
                <w:rFonts w:eastAsiaTheme="minorEastAsia"/>
                <w:noProof/>
                <w:lang w:eastAsia="en-IE"/>
              </w:rPr>
              <w:tab/>
            </w:r>
            <w:r w:rsidR="00C338EE" w:rsidRPr="0071279B">
              <w:rPr>
                <w:rStyle w:val="Hyperlink"/>
                <w:noProof/>
                <w:color w:val="034990" w:themeColor="hyperlink" w:themeShade="BF"/>
              </w:rPr>
              <w:t>Introduction</w:t>
            </w:r>
            <w:r w:rsidR="00C338EE">
              <w:rPr>
                <w:noProof/>
                <w:webHidden/>
              </w:rPr>
              <w:tab/>
            </w:r>
            <w:r w:rsidR="00C338EE">
              <w:rPr>
                <w:noProof/>
                <w:webHidden/>
              </w:rPr>
              <w:fldChar w:fldCharType="begin"/>
            </w:r>
            <w:r w:rsidR="00C338EE">
              <w:rPr>
                <w:noProof/>
                <w:webHidden/>
              </w:rPr>
              <w:instrText xml:space="preserve"> PAGEREF _Toc120448333 \h </w:instrText>
            </w:r>
            <w:r w:rsidR="00C338EE">
              <w:rPr>
                <w:noProof/>
                <w:webHidden/>
              </w:rPr>
            </w:r>
            <w:r w:rsidR="00C338EE">
              <w:rPr>
                <w:noProof/>
                <w:webHidden/>
              </w:rPr>
              <w:fldChar w:fldCharType="separate"/>
            </w:r>
            <w:r w:rsidR="00C338EE">
              <w:rPr>
                <w:noProof/>
                <w:webHidden/>
              </w:rPr>
              <w:t>3</w:t>
            </w:r>
            <w:r w:rsidR="00C338EE">
              <w:rPr>
                <w:noProof/>
                <w:webHidden/>
              </w:rPr>
              <w:fldChar w:fldCharType="end"/>
            </w:r>
          </w:hyperlink>
        </w:p>
        <w:p w14:paraId="3DB38888" w14:textId="339565EA" w:rsidR="00C338EE" w:rsidRDefault="00285144">
          <w:pPr>
            <w:pStyle w:val="TOC1"/>
            <w:tabs>
              <w:tab w:val="left" w:pos="440"/>
              <w:tab w:val="right" w:leader="dot" w:pos="9016"/>
            </w:tabs>
            <w:rPr>
              <w:rFonts w:eastAsiaTheme="minorEastAsia"/>
              <w:noProof/>
              <w:lang w:eastAsia="en-IE"/>
            </w:rPr>
          </w:pPr>
          <w:hyperlink w:anchor="_Toc120448334" w:history="1">
            <w:r w:rsidR="00C338EE" w:rsidRPr="0071279B">
              <w:rPr>
                <w:rStyle w:val="Hyperlink"/>
                <w:noProof/>
                <w:color w:val="034990" w:themeColor="hyperlink" w:themeShade="BF"/>
              </w:rPr>
              <w:t>2.</w:t>
            </w:r>
            <w:r w:rsidR="00C338EE">
              <w:rPr>
                <w:rFonts w:eastAsiaTheme="minorEastAsia"/>
                <w:noProof/>
                <w:lang w:eastAsia="en-IE"/>
              </w:rPr>
              <w:tab/>
            </w:r>
            <w:r w:rsidR="00C338EE" w:rsidRPr="0071279B">
              <w:rPr>
                <w:rStyle w:val="Hyperlink"/>
                <w:noProof/>
                <w:color w:val="034990" w:themeColor="hyperlink" w:themeShade="BF"/>
              </w:rPr>
              <w:t>Aims and Scope of this policy</w:t>
            </w:r>
            <w:r w:rsidR="00C338EE">
              <w:rPr>
                <w:noProof/>
                <w:webHidden/>
              </w:rPr>
              <w:tab/>
            </w:r>
            <w:r w:rsidR="00C338EE">
              <w:rPr>
                <w:noProof/>
                <w:webHidden/>
              </w:rPr>
              <w:fldChar w:fldCharType="begin"/>
            </w:r>
            <w:r w:rsidR="00C338EE">
              <w:rPr>
                <w:noProof/>
                <w:webHidden/>
              </w:rPr>
              <w:instrText xml:space="preserve"> PAGEREF _Toc120448334 \h </w:instrText>
            </w:r>
            <w:r w:rsidR="00C338EE">
              <w:rPr>
                <w:noProof/>
                <w:webHidden/>
              </w:rPr>
            </w:r>
            <w:r w:rsidR="00C338EE">
              <w:rPr>
                <w:noProof/>
                <w:webHidden/>
              </w:rPr>
              <w:fldChar w:fldCharType="separate"/>
            </w:r>
            <w:r w:rsidR="00C338EE">
              <w:rPr>
                <w:noProof/>
                <w:webHidden/>
              </w:rPr>
              <w:t>3</w:t>
            </w:r>
            <w:r w:rsidR="00C338EE">
              <w:rPr>
                <w:noProof/>
                <w:webHidden/>
              </w:rPr>
              <w:fldChar w:fldCharType="end"/>
            </w:r>
          </w:hyperlink>
        </w:p>
        <w:p w14:paraId="2B89B109" w14:textId="36CEE518" w:rsidR="00C338EE" w:rsidRDefault="00285144">
          <w:pPr>
            <w:pStyle w:val="TOC1"/>
            <w:tabs>
              <w:tab w:val="left" w:pos="440"/>
              <w:tab w:val="right" w:leader="dot" w:pos="9016"/>
            </w:tabs>
            <w:rPr>
              <w:rFonts w:eastAsiaTheme="minorEastAsia"/>
              <w:noProof/>
              <w:lang w:eastAsia="en-IE"/>
            </w:rPr>
          </w:pPr>
          <w:hyperlink w:anchor="_Toc120448335" w:history="1">
            <w:r w:rsidR="00C338EE" w:rsidRPr="0071279B">
              <w:rPr>
                <w:rStyle w:val="Hyperlink"/>
                <w:noProof/>
                <w:color w:val="034990" w:themeColor="hyperlink" w:themeShade="BF"/>
              </w:rPr>
              <w:t>3.</w:t>
            </w:r>
            <w:r w:rsidR="00C338EE">
              <w:rPr>
                <w:rFonts w:eastAsiaTheme="minorEastAsia"/>
                <w:noProof/>
                <w:lang w:eastAsia="en-IE"/>
              </w:rPr>
              <w:tab/>
            </w:r>
            <w:r w:rsidR="00C338EE" w:rsidRPr="0071279B">
              <w:rPr>
                <w:rStyle w:val="Hyperlink"/>
                <w:noProof/>
                <w:color w:val="034990" w:themeColor="hyperlink" w:themeShade="BF"/>
              </w:rPr>
              <w:t>Protection from Penalisation</w:t>
            </w:r>
            <w:r w:rsidR="00C338EE">
              <w:rPr>
                <w:noProof/>
                <w:webHidden/>
              </w:rPr>
              <w:tab/>
            </w:r>
            <w:r w:rsidR="00C338EE">
              <w:rPr>
                <w:noProof/>
                <w:webHidden/>
              </w:rPr>
              <w:fldChar w:fldCharType="begin"/>
            </w:r>
            <w:r w:rsidR="00C338EE">
              <w:rPr>
                <w:noProof/>
                <w:webHidden/>
              </w:rPr>
              <w:instrText xml:space="preserve"> PAGEREF _Toc120448335 \h </w:instrText>
            </w:r>
            <w:r w:rsidR="00C338EE">
              <w:rPr>
                <w:noProof/>
                <w:webHidden/>
              </w:rPr>
            </w:r>
            <w:r w:rsidR="00C338EE">
              <w:rPr>
                <w:noProof/>
                <w:webHidden/>
              </w:rPr>
              <w:fldChar w:fldCharType="separate"/>
            </w:r>
            <w:r w:rsidR="00C338EE">
              <w:rPr>
                <w:noProof/>
                <w:webHidden/>
              </w:rPr>
              <w:t>4</w:t>
            </w:r>
            <w:r w:rsidR="00C338EE">
              <w:rPr>
                <w:noProof/>
                <w:webHidden/>
              </w:rPr>
              <w:fldChar w:fldCharType="end"/>
            </w:r>
          </w:hyperlink>
        </w:p>
        <w:p w14:paraId="5C5961C3" w14:textId="62611351" w:rsidR="00C338EE" w:rsidRDefault="00285144">
          <w:pPr>
            <w:pStyle w:val="TOC1"/>
            <w:tabs>
              <w:tab w:val="left" w:pos="440"/>
              <w:tab w:val="right" w:leader="dot" w:pos="9016"/>
            </w:tabs>
            <w:rPr>
              <w:rFonts w:eastAsiaTheme="minorEastAsia"/>
              <w:noProof/>
              <w:lang w:eastAsia="en-IE"/>
            </w:rPr>
          </w:pPr>
          <w:hyperlink w:anchor="_Toc120448336" w:history="1">
            <w:r w:rsidR="00C338EE" w:rsidRPr="0071279B">
              <w:rPr>
                <w:rStyle w:val="Hyperlink"/>
                <w:noProof/>
                <w:color w:val="034990" w:themeColor="hyperlink" w:themeShade="BF"/>
              </w:rPr>
              <w:t>5.</w:t>
            </w:r>
            <w:r w:rsidR="00C338EE">
              <w:rPr>
                <w:rFonts w:eastAsiaTheme="minorEastAsia"/>
                <w:noProof/>
                <w:lang w:eastAsia="en-IE"/>
              </w:rPr>
              <w:tab/>
            </w:r>
            <w:r w:rsidR="00C338EE" w:rsidRPr="0071279B">
              <w:rPr>
                <w:rStyle w:val="Hyperlink"/>
                <w:noProof/>
                <w:color w:val="034990" w:themeColor="hyperlink" w:themeShade="BF"/>
              </w:rPr>
              <w:t>How the HRB will respond</w:t>
            </w:r>
            <w:r w:rsidR="00C338EE">
              <w:rPr>
                <w:noProof/>
                <w:webHidden/>
              </w:rPr>
              <w:tab/>
            </w:r>
            <w:r w:rsidR="00C338EE">
              <w:rPr>
                <w:noProof/>
                <w:webHidden/>
              </w:rPr>
              <w:fldChar w:fldCharType="begin"/>
            </w:r>
            <w:r w:rsidR="00C338EE">
              <w:rPr>
                <w:noProof/>
                <w:webHidden/>
              </w:rPr>
              <w:instrText xml:space="preserve"> PAGEREF _Toc120448336 \h </w:instrText>
            </w:r>
            <w:r w:rsidR="00C338EE">
              <w:rPr>
                <w:noProof/>
                <w:webHidden/>
              </w:rPr>
            </w:r>
            <w:r w:rsidR="00C338EE">
              <w:rPr>
                <w:noProof/>
                <w:webHidden/>
              </w:rPr>
              <w:fldChar w:fldCharType="separate"/>
            </w:r>
            <w:r w:rsidR="00C338EE">
              <w:rPr>
                <w:noProof/>
                <w:webHidden/>
              </w:rPr>
              <w:t>5</w:t>
            </w:r>
            <w:r w:rsidR="00C338EE">
              <w:rPr>
                <w:noProof/>
                <w:webHidden/>
              </w:rPr>
              <w:fldChar w:fldCharType="end"/>
            </w:r>
          </w:hyperlink>
        </w:p>
        <w:p w14:paraId="6C085838" w14:textId="4F798E64" w:rsidR="00C338EE" w:rsidRDefault="00285144">
          <w:pPr>
            <w:pStyle w:val="TOC1"/>
            <w:tabs>
              <w:tab w:val="left" w:pos="440"/>
              <w:tab w:val="right" w:leader="dot" w:pos="9016"/>
            </w:tabs>
            <w:rPr>
              <w:rFonts w:eastAsiaTheme="minorEastAsia"/>
              <w:noProof/>
              <w:lang w:eastAsia="en-IE"/>
            </w:rPr>
          </w:pPr>
          <w:hyperlink w:anchor="_Toc120448337" w:history="1">
            <w:r w:rsidR="00C338EE" w:rsidRPr="0071279B">
              <w:rPr>
                <w:rStyle w:val="Hyperlink"/>
                <w:noProof/>
                <w:color w:val="034990" w:themeColor="hyperlink" w:themeShade="BF"/>
              </w:rPr>
              <w:t>6.</w:t>
            </w:r>
            <w:r w:rsidR="00C338EE">
              <w:rPr>
                <w:rFonts w:eastAsiaTheme="minorEastAsia"/>
                <w:noProof/>
                <w:lang w:eastAsia="en-IE"/>
              </w:rPr>
              <w:tab/>
            </w:r>
            <w:r w:rsidR="00C338EE" w:rsidRPr="0071279B">
              <w:rPr>
                <w:rStyle w:val="Hyperlink"/>
                <w:noProof/>
                <w:color w:val="034990" w:themeColor="hyperlink" w:themeShade="BF"/>
              </w:rPr>
              <w:t>EXternal DIsclosure</w:t>
            </w:r>
            <w:r w:rsidR="00C338EE">
              <w:rPr>
                <w:noProof/>
                <w:webHidden/>
              </w:rPr>
              <w:tab/>
            </w:r>
            <w:r w:rsidR="00C338EE">
              <w:rPr>
                <w:noProof/>
                <w:webHidden/>
              </w:rPr>
              <w:fldChar w:fldCharType="begin"/>
            </w:r>
            <w:r w:rsidR="00C338EE">
              <w:rPr>
                <w:noProof/>
                <w:webHidden/>
              </w:rPr>
              <w:instrText xml:space="preserve"> PAGEREF _Toc120448337 \h </w:instrText>
            </w:r>
            <w:r w:rsidR="00C338EE">
              <w:rPr>
                <w:noProof/>
                <w:webHidden/>
              </w:rPr>
            </w:r>
            <w:r w:rsidR="00C338EE">
              <w:rPr>
                <w:noProof/>
                <w:webHidden/>
              </w:rPr>
              <w:fldChar w:fldCharType="separate"/>
            </w:r>
            <w:r w:rsidR="00C338EE">
              <w:rPr>
                <w:noProof/>
                <w:webHidden/>
              </w:rPr>
              <w:t>6</w:t>
            </w:r>
            <w:r w:rsidR="00C338EE">
              <w:rPr>
                <w:noProof/>
                <w:webHidden/>
              </w:rPr>
              <w:fldChar w:fldCharType="end"/>
            </w:r>
          </w:hyperlink>
        </w:p>
        <w:p w14:paraId="172D4924" w14:textId="43E31471" w:rsidR="00C338EE" w:rsidRDefault="00285144">
          <w:pPr>
            <w:pStyle w:val="TOC1"/>
            <w:tabs>
              <w:tab w:val="left" w:pos="440"/>
              <w:tab w:val="right" w:leader="dot" w:pos="9016"/>
            </w:tabs>
            <w:rPr>
              <w:rFonts w:eastAsiaTheme="minorEastAsia"/>
              <w:noProof/>
              <w:lang w:eastAsia="en-IE"/>
            </w:rPr>
          </w:pPr>
          <w:hyperlink w:anchor="_Toc120448338" w:history="1">
            <w:r w:rsidR="00C338EE" w:rsidRPr="0071279B">
              <w:rPr>
                <w:rStyle w:val="Hyperlink"/>
                <w:noProof/>
                <w:color w:val="034990" w:themeColor="hyperlink" w:themeShade="BF"/>
              </w:rPr>
              <w:t>7.</w:t>
            </w:r>
            <w:r w:rsidR="00C338EE">
              <w:rPr>
                <w:rFonts w:eastAsiaTheme="minorEastAsia"/>
                <w:noProof/>
                <w:lang w:eastAsia="en-IE"/>
              </w:rPr>
              <w:tab/>
            </w:r>
            <w:r w:rsidR="00C338EE" w:rsidRPr="0071279B">
              <w:rPr>
                <w:rStyle w:val="Hyperlink"/>
                <w:noProof/>
                <w:color w:val="034990" w:themeColor="hyperlink" w:themeShade="BF"/>
              </w:rPr>
              <w:t>reasonable belief</w:t>
            </w:r>
            <w:r w:rsidR="00C338EE">
              <w:rPr>
                <w:noProof/>
                <w:webHidden/>
              </w:rPr>
              <w:tab/>
            </w:r>
            <w:r w:rsidR="00C338EE">
              <w:rPr>
                <w:noProof/>
                <w:webHidden/>
              </w:rPr>
              <w:fldChar w:fldCharType="begin"/>
            </w:r>
            <w:r w:rsidR="00C338EE">
              <w:rPr>
                <w:noProof/>
                <w:webHidden/>
              </w:rPr>
              <w:instrText xml:space="preserve"> PAGEREF _Toc120448338 \h </w:instrText>
            </w:r>
            <w:r w:rsidR="00C338EE">
              <w:rPr>
                <w:noProof/>
                <w:webHidden/>
              </w:rPr>
            </w:r>
            <w:r w:rsidR="00C338EE">
              <w:rPr>
                <w:noProof/>
                <w:webHidden/>
              </w:rPr>
              <w:fldChar w:fldCharType="separate"/>
            </w:r>
            <w:r w:rsidR="00C338EE">
              <w:rPr>
                <w:noProof/>
                <w:webHidden/>
              </w:rPr>
              <w:t>8</w:t>
            </w:r>
            <w:r w:rsidR="00C338EE">
              <w:rPr>
                <w:noProof/>
                <w:webHidden/>
              </w:rPr>
              <w:fldChar w:fldCharType="end"/>
            </w:r>
          </w:hyperlink>
        </w:p>
        <w:p w14:paraId="3F5BBA07" w14:textId="0B2CB8FC" w:rsidR="00C338EE" w:rsidRDefault="00285144">
          <w:pPr>
            <w:pStyle w:val="TOC1"/>
            <w:tabs>
              <w:tab w:val="left" w:pos="440"/>
              <w:tab w:val="right" w:leader="dot" w:pos="9016"/>
            </w:tabs>
            <w:rPr>
              <w:rFonts w:eastAsiaTheme="minorEastAsia"/>
              <w:noProof/>
              <w:lang w:eastAsia="en-IE"/>
            </w:rPr>
          </w:pPr>
          <w:hyperlink w:anchor="_Toc120448339" w:history="1">
            <w:r w:rsidR="00C338EE" w:rsidRPr="0071279B">
              <w:rPr>
                <w:rStyle w:val="Hyperlink"/>
                <w:noProof/>
                <w:color w:val="034990" w:themeColor="hyperlink" w:themeShade="BF"/>
              </w:rPr>
              <w:t>8.</w:t>
            </w:r>
            <w:r w:rsidR="00C338EE">
              <w:rPr>
                <w:rFonts w:eastAsiaTheme="minorEastAsia"/>
                <w:noProof/>
                <w:lang w:eastAsia="en-IE"/>
              </w:rPr>
              <w:tab/>
            </w:r>
            <w:r w:rsidR="00C338EE" w:rsidRPr="0071279B">
              <w:rPr>
                <w:rStyle w:val="Hyperlink"/>
                <w:noProof/>
                <w:color w:val="034990" w:themeColor="hyperlink" w:themeShade="BF"/>
              </w:rPr>
              <w:t>Confidentiality</w:t>
            </w:r>
            <w:r w:rsidR="00C338EE">
              <w:rPr>
                <w:noProof/>
                <w:webHidden/>
              </w:rPr>
              <w:tab/>
            </w:r>
            <w:r w:rsidR="00C338EE">
              <w:rPr>
                <w:noProof/>
                <w:webHidden/>
              </w:rPr>
              <w:fldChar w:fldCharType="begin"/>
            </w:r>
            <w:r w:rsidR="00C338EE">
              <w:rPr>
                <w:noProof/>
                <w:webHidden/>
              </w:rPr>
              <w:instrText xml:space="preserve"> PAGEREF _Toc120448339 \h </w:instrText>
            </w:r>
            <w:r w:rsidR="00C338EE">
              <w:rPr>
                <w:noProof/>
                <w:webHidden/>
              </w:rPr>
            </w:r>
            <w:r w:rsidR="00C338EE">
              <w:rPr>
                <w:noProof/>
                <w:webHidden/>
              </w:rPr>
              <w:fldChar w:fldCharType="separate"/>
            </w:r>
            <w:r w:rsidR="00C338EE">
              <w:rPr>
                <w:noProof/>
                <w:webHidden/>
              </w:rPr>
              <w:t>8</w:t>
            </w:r>
            <w:r w:rsidR="00C338EE">
              <w:rPr>
                <w:noProof/>
                <w:webHidden/>
              </w:rPr>
              <w:fldChar w:fldCharType="end"/>
            </w:r>
          </w:hyperlink>
        </w:p>
        <w:p w14:paraId="3CFC711D" w14:textId="5ABFFE71" w:rsidR="00C338EE" w:rsidRDefault="00285144">
          <w:pPr>
            <w:pStyle w:val="TOC1"/>
            <w:tabs>
              <w:tab w:val="left" w:pos="440"/>
              <w:tab w:val="right" w:leader="dot" w:pos="9016"/>
            </w:tabs>
            <w:rPr>
              <w:rFonts w:eastAsiaTheme="minorEastAsia"/>
              <w:noProof/>
              <w:lang w:eastAsia="en-IE"/>
            </w:rPr>
          </w:pPr>
          <w:hyperlink w:anchor="_Toc120448340" w:history="1">
            <w:r w:rsidR="00C338EE" w:rsidRPr="0071279B">
              <w:rPr>
                <w:rStyle w:val="Hyperlink"/>
                <w:noProof/>
                <w:color w:val="034990" w:themeColor="hyperlink" w:themeShade="BF"/>
              </w:rPr>
              <w:t>9.</w:t>
            </w:r>
            <w:r w:rsidR="00C338EE">
              <w:rPr>
                <w:rFonts w:eastAsiaTheme="minorEastAsia"/>
                <w:noProof/>
                <w:lang w:eastAsia="en-IE"/>
              </w:rPr>
              <w:tab/>
            </w:r>
            <w:r w:rsidR="00C338EE" w:rsidRPr="0071279B">
              <w:rPr>
                <w:rStyle w:val="Hyperlink"/>
                <w:noProof/>
                <w:color w:val="034990" w:themeColor="hyperlink" w:themeShade="BF"/>
              </w:rPr>
              <w:t>Representation</w:t>
            </w:r>
            <w:r w:rsidR="00C338EE">
              <w:rPr>
                <w:noProof/>
                <w:webHidden/>
              </w:rPr>
              <w:tab/>
            </w:r>
            <w:r w:rsidR="00C338EE">
              <w:rPr>
                <w:noProof/>
                <w:webHidden/>
              </w:rPr>
              <w:fldChar w:fldCharType="begin"/>
            </w:r>
            <w:r w:rsidR="00C338EE">
              <w:rPr>
                <w:noProof/>
                <w:webHidden/>
              </w:rPr>
              <w:instrText xml:space="preserve"> PAGEREF _Toc120448340 \h </w:instrText>
            </w:r>
            <w:r w:rsidR="00C338EE">
              <w:rPr>
                <w:noProof/>
                <w:webHidden/>
              </w:rPr>
            </w:r>
            <w:r w:rsidR="00C338EE">
              <w:rPr>
                <w:noProof/>
                <w:webHidden/>
              </w:rPr>
              <w:fldChar w:fldCharType="separate"/>
            </w:r>
            <w:r w:rsidR="00C338EE">
              <w:rPr>
                <w:noProof/>
                <w:webHidden/>
              </w:rPr>
              <w:t>9</w:t>
            </w:r>
            <w:r w:rsidR="00C338EE">
              <w:rPr>
                <w:noProof/>
                <w:webHidden/>
              </w:rPr>
              <w:fldChar w:fldCharType="end"/>
            </w:r>
          </w:hyperlink>
        </w:p>
        <w:p w14:paraId="3B8C45D2" w14:textId="3CA41426" w:rsidR="00C338EE" w:rsidRDefault="00285144">
          <w:pPr>
            <w:pStyle w:val="TOC1"/>
            <w:tabs>
              <w:tab w:val="left" w:pos="660"/>
              <w:tab w:val="right" w:leader="dot" w:pos="9016"/>
            </w:tabs>
            <w:rPr>
              <w:rFonts w:eastAsiaTheme="minorEastAsia"/>
              <w:noProof/>
              <w:lang w:eastAsia="en-IE"/>
            </w:rPr>
          </w:pPr>
          <w:hyperlink w:anchor="_Toc120448341" w:history="1">
            <w:r w:rsidR="00C338EE" w:rsidRPr="0071279B">
              <w:rPr>
                <w:rStyle w:val="Hyperlink"/>
                <w:noProof/>
                <w:color w:val="034990" w:themeColor="hyperlink" w:themeShade="BF"/>
              </w:rPr>
              <w:t>10.</w:t>
            </w:r>
            <w:r w:rsidR="00C338EE">
              <w:rPr>
                <w:rFonts w:eastAsiaTheme="minorEastAsia"/>
                <w:noProof/>
                <w:lang w:eastAsia="en-IE"/>
              </w:rPr>
              <w:tab/>
            </w:r>
            <w:r w:rsidR="00C338EE" w:rsidRPr="0071279B">
              <w:rPr>
                <w:rStyle w:val="Hyperlink"/>
                <w:noProof/>
                <w:color w:val="034990" w:themeColor="hyperlink" w:themeShade="BF"/>
              </w:rPr>
              <w:t>Policy Owner</w:t>
            </w:r>
            <w:r w:rsidR="00C338EE">
              <w:rPr>
                <w:noProof/>
                <w:webHidden/>
              </w:rPr>
              <w:tab/>
            </w:r>
            <w:r w:rsidR="00C338EE">
              <w:rPr>
                <w:noProof/>
                <w:webHidden/>
              </w:rPr>
              <w:fldChar w:fldCharType="begin"/>
            </w:r>
            <w:r w:rsidR="00C338EE">
              <w:rPr>
                <w:noProof/>
                <w:webHidden/>
              </w:rPr>
              <w:instrText xml:space="preserve"> PAGEREF _Toc120448341 \h </w:instrText>
            </w:r>
            <w:r w:rsidR="00C338EE">
              <w:rPr>
                <w:noProof/>
                <w:webHidden/>
              </w:rPr>
            </w:r>
            <w:r w:rsidR="00C338EE">
              <w:rPr>
                <w:noProof/>
                <w:webHidden/>
              </w:rPr>
              <w:fldChar w:fldCharType="separate"/>
            </w:r>
            <w:r w:rsidR="00C338EE">
              <w:rPr>
                <w:noProof/>
                <w:webHidden/>
              </w:rPr>
              <w:t>9</w:t>
            </w:r>
            <w:r w:rsidR="00C338EE">
              <w:rPr>
                <w:noProof/>
                <w:webHidden/>
              </w:rPr>
              <w:fldChar w:fldCharType="end"/>
            </w:r>
          </w:hyperlink>
        </w:p>
        <w:p w14:paraId="0F5F4C6E" w14:textId="043544B7" w:rsidR="00C338EE" w:rsidRDefault="00285144">
          <w:pPr>
            <w:pStyle w:val="TOC1"/>
            <w:tabs>
              <w:tab w:val="left" w:pos="660"/>
              <w:tab w:val="right" w:leader="dot" w:pos="9016"/>
            </w:tabs>
            <w:rPr>
              <w:rFonts w:eastAsiaTheme="minorEastAsia"/>
              <w:noProof/>
              <w:lang w:eastAsia="en-IE"/>
            </w:rPr>
          </w:pPr>
          <w:hyperlink w:anchor="_Toc120448342" w:history="1">
            <w:r w:rsidR="00C338EE" w:rsidRPr="0071279B">
              <w:rPr>
                <w:rStyle w:val="Hyperlink"/>
                <w:noProof/>
                <w:color w:val="034990" w:themeColor="hyperlink" w:themeShade="BF"/>
              </w:rPr>
              <w:t>11.</w:t>
            </w:r>
            <w:r w:rsidR="00C338EE">
              <w:rPr>
                <w:rFonts w:eastAsiaTheme="minorEastAsia"/>
                <w:noProof/>
                <w:lang w:eastAsia="en-IE"/>
              </w:rPr>
              <w:tab/>
            </w:r>
            <w:r w:rsidR="00C338EE" w:rsidRPr="0071279B">
              <w:rPr>
                <w:rStyle w:val="Hyperlink"/>
                <w:noProof/>
                <w:color w:val="034990" w:themeColor="hyperlink" w:themeShade="BF"/>
              </w:rPr>
              <w:t>Review of this Policy</w:t>
            </w:r>
            <w:r w:rsidR="00C338EE">
              <w:rPr>
                <w:noProof/>
                <w:webHidden/>
              </w:rPr>
              <w:tab/>
            </w:r>
            <w:r w:rsidR="00C338EE">
              <w:rPr>
                <w:noProof/>
                <w:webHidden/>
              </w:rPr>
              <w:fldChar w:fldCharType="begin"/>
            </w:r>
            <w:r w:rsidR="00C338EE">
              <w:rPr>
                <w:noProof/>
                <w:webHidden/>
              </w:rPr>
              <w:instrText xml:space="preserve"> PAGEREF _Toc120448342 \h </w:instrText>
            </w:r>
            <w:r w:rsidR="00C338EE">
              <w:rPr>
                <w:noProof/>
                <w:webHidden/>
              </w:rPr>
            </w:r>
            <w:r w:rsidR="00C338EE">
              <w:rPr>
                <w:noProof/>
                <w:webHidden/>
              </w:rPr>
              <w:fldChar w:fldCharType="separate"/>
            </w:r>
            <w:r w:rsidR="00C338EE">
              <w:rPr>
                <w:noProof/>
                <w:webHidden/>
              </w:rPr>
              <w:t>9</w:t>
            </w:r>
            <w:r w:rsidR="00C338EE">
              <w:rPr>
                <w:noProof/>
                <w:webHidden/>
              </w:rPr>
              <w:fldChar w:fldCharType="end"/>
            </w:r>
          </w:hyperlink>
        </w:p>
        <w:p w14:paraId="0EEEEEC5" w14:textId="5603C1D8" w:rsidR="0081122B" w:rsidRPr="007B542B" w:rsidRDefault="0081122B" w:rsidP="0081122B">
          <w:r w:rsidRPr="007B542B">
            <w:fldChar w:fldCharType="end"/>
          </w:r>
        </w:p>
      </w:sdtContent>
    </w:sdt>
    <w:p w14:paraId="7F4AB87B" w14:textId="77777777" w:rsidR="0081122B" w:rsidRPr="007B542B" w:rsidRDefault="0081122B" w:rsidP="0081122B">
      <w:pPr>
        <w:rPr>
          <w:b/>
        </w:rPr>
      </w:pPr>
    </w:p>
    <w:p w14:paraId="70943A5F" w14:textId="77777777" w:rsidR="0081122B" w:rsidRPr="007B542B" w:rsidRDefault="0081122B" w:rsidP="0081122B">
      <w:r w:rsidRPr="007B542B">
        <w:br w:type="page"/>
      </w:r>
    </w:p>
    <w:p w14:paraId="019039BD" w14:textId="77777777" w:rsidR="0081122B" w:rsidRPr="00760253" w:rsidRDefault="0081122B" w:rsidP="0081122B">
      <w:pPr>
        <w:pStyle w:val="Heading1"/>
        <w:numPr>
          <w:ilvl w:val="0"/>
          <w:numId w:val="14"/>
        </w:numPr>
        <w:spacing w:after="60" w:line="276" w:lineRule="auto"/>
        <w:rPr>
          <w:color w:val="2F5496" w:themeColor="accent1" w:themeShade="BF"/>
        </w:rPr>
      </w:pPr>
      <w:bookmarkStart w:id="1" w:name="_Toc120448333"/>
      <w:r w:rsidRPr="00760253">
        <w:rPr>
          <w:color w:val="2F5496" w:themeColor="accent1" w:themeShade="BF"/>
        </w:rPr>
        <w:lastRenderedPageBreak/>
        <w:t>Introduction</w:t>
      </w:r>
      <w:bookmarkEnd w:id="1"/>
    </w:p>
    <w:p w14:paraId="1503B871" w14:textId="5C8EADE7" w:rsidR="0081122B" w:rsidRPr="002E0CC5" w:rsidRDefault="0081122B" w:rsidP="00EE3B22">
      <w:pPr>
        <w:spacing w:after="120" w:line="276" w:lineRule="auto"/>
        <w:rPr>
          <w:rFonts w:cstheme="minorHAnsi"/>
        </w:rPr>
      </w:pPr>
      <w:r w:rsidRPr="007E7C68">
        <w:rPr>
          <w:rFonts w:cstheme="minorHAnsi"/>
        </w:rPr>
        <w:t xml:space="preserve">The Health Research Board (HRB) is committed to the principle of accountability and to developing a culture where all </w:t>
      </w:r>
      <w:r w:rsidR="004A6EA0">
        <w:rPr>
          <w:rFonts w:cstheme="minorHAnsi"/>
        </w:rPr>
        <w:t>employees</w:t>
      </w:r>
      <w:r w:rsidRPr="007E7C68">
        <w:rPr>
          <w:rFonts w:cstheme="minorHAnsi"/>
        </w:rPr>
        <w:t xml:space="preserve"> </w:t>
      </w:r>
      <w:r w:rsidR="00EE3B22">
        <w:rPr>
          <w:rFonts w:cstheme="minorHAnsi"/>
        </w:rPr>
        <w:t xml:space="preserve">can </w:t>
      </w:r>
      <w:r w:rsidR="00EE3B22" w:rsidRPr="007E7C68">
        <w:rPr>
          <w:rFonts w:cstheme="minorHAnsi"/>
        </w:rPr>
        <w:t>raise</w:t>
      </w:r>
      <w:r w:rsidRPr="007E7C68">
        <w:rPr>
          <w:rFonts w:cstheme="minorHAnsi"/>
        </w:rPr>
        <w:t xml:space="preserve"> their concerns</w:t>
      </w:r>
      <w:r w:rsidR="00541BBA" w:rsidRPr="007E7C68">
        <w:rPr>
          <w:rFonts w:cstheme="minorHAnsi"/>
        </w:rPr>
        <w:t xml:space="preserve"> </w:t>
      </w:r>
      <w:r w:rsidRPr="007E7C68">
        <w:rPr>
          <w:rFonts w:cstheme="minorHAnsi"/>
        </w:rPr>
        <w:t>about what is happening at work if they have a reasonable belief of wrongdoing.</w:t>
      </w:r>
    </w:p>
    <w:p w14:paraId="4AC7840B" w14:textId="6507E9DA" w:rsidR="0081122B" w:rsidRPr="002E0CC5" w:rsidRDefault="0081122B" w:rsidP="00EE3B22">
      <w:pPr>
        <w:spacing w:after="120" w:line="276" w:lineRule="auto"/>
        <w:rPr>
          <w:rFonts w:cstheme="minorHAnsi"/>
        </w:rPr>
      </w:pPr>
      <w:r w:rsidRPr="002E0CC5">
        <w:rPr>
          <w:rFonts w:cstheme="minorHAnsi"/>
        </w:rPr>
        <w:t xml:space="preserve">Employees are usually the first to know if/when someone within or connected to an organisation is acting </w:t>
      </w:r>
      <w:r w:rsidRPr="007E7C68">
        <w:rPr>
          <w:rFonts w:cstheme="minorHAnsi"/>
        </w:rPr>
        <w:t>improperly. The</w:t>
      </w:r>
      <w:r w:rsidRPr="002E0CC5">
        <w:rPr>
          <w:rFonts w:cstheme="minorHAnsi"/>
        </w:rPr>
        <w:t xml:space="preserve"> HRB will investigate concerns expressed by employees relating to </w:t>
      </w:r>
      <w:r w:rsidRPr="007E7C68">
        <w:rPr>
          <w:rFonts w:cstheme="minorHAnsi"/>
        </w:rPr>
        <w:t>a wrongdoing</w:t>
      </w:r>
      <w:r w:rsidRPr="002E0CC5">
        <w:rPr>
          <w:rFonts w:cstheme="minorHAnsi"/>
        </w:rPr>
        <w:t xml:space="preserve"> in the HRB and will ensure that employees </w:t>
      </w:r>
      <w:r w:rsidR="00541BBA">
        <w:rPr>
          <w:rFonts w:cstheme="minorHAnsi"/>
        </w:rPr>
        <w:t xml:space="preserve">are </w:t>
      </w:r>
      <w:r w:rsidR="00B42104">
        <w:rPr>
          <w:rFonts w:cstheme="minorHAnsi"/>
        </w:rPr>
        <w:t xml:space="preserve">not penalised </w:t>
      </w:r>
      <w:r w:rsidRPr="002E0CC5">
        <w:rPr>
          <w:rFonts w:cstheme="minorHAnsi"/>
        </w:rPr>
        <w:t>as a result of raising a concern.</w:t>
      </w:r>
      <w:r w:rsidR="00B42104">
        <w:rPr>
          <w:rFonts w:cstheme="minorHAnsi"/>
        </w:rPr>
        <w:t xml:space="preserve"> This policy has been drafted </w:t>
      </w:r>
      <w:r w:rsidR="00B42104" w:rsidRPr="00B42104">
        <w:rPr>
          <w:rFonts w:cstheme="minorHAnsi"/>
        </w:rPr>
        <w:t>in accordance with the Protected Disclosures Act 2014, as amended</w:t>
      </w:r>
      <w:r w:rsidR="00806C13">
        <w:rPr>
          <w:rFonts w:cstheme="minorHAnsi"/>
        </w:rPr>
        <w:t xml:space="preserve"> (the Act</w:t>
      </w:r>
      <w:r w:rsidR="00B42104">
        <w:rPr>
          <w:rFonts w:cstheme="minorHAnsi"/>
        </w:rPr>
        <w:t>)</w:t>
      </w:r>
      <w:r w:rsidR="00B42104" w:rsidRPr="00B42104">
        <w:rPr>
          <w:rFonts w:cstheme="minorHAnsi"/>
        </w:rPr>
        <w:t>.</w:t>
      </w:r>
    </w:p>
    <w:p w14:paraId="632179CA" w14:textId="1D187041" w:rsidR="0081122B" w:rsidRDefault="0081122B" w:rsidP="00EE3B22">
      <w:pPr>
        <w:spacing w:after="120" w:line="276" w:lineRule="auto"/>
        <w:rPr>
          <w:rFonts w:cstheme="minorHAnsi"/>
        </w:rPr>
      </w:pPr>
      <w:r w:rsidRPr="002E0CC5">
        <w:rPr>
          <w:rFonts w:cstheme="minorHAnsi"/>
        </w:rPr>
        <w:t>For the purposes of this policy, the term ‘</w:t>
      </w:r>
      <w:r w:rsidR="00493107">
        <w:rPr>
          <w:rFonts w:cstheme="minorHAnsi"/>
        </w:rPr>
        <w:t>worker</w:t>
      </w:r>
      <w:r w:rsidRPr="002E0CC5">
        <w:rPr>
          <w:rFonts w:cstheme="minorHAnsi"/>
        </w:rPr>
        <w:t xml:space="preserve">’ includes </w:t>
      </w:r>
      <w:r w:rsidR="00541BBA">
        <w:rPr>
          <w:rFonts w:cstheme="minorHAnsi"/>
        </w:rPr>
        <w:t xml:space="preserve">current and </w:t>
      </w:r>
      <w:r w:rsidRPr="002E0CC5">
        <w:rPr>
          <w:rFonts w:cstheme="minorHAnsi"/>
        </w:rPr>
        <w:t>former employees</w:t>
      </w:r>
      <w:r w:rsidR="00117C0D">
        <w:rPr>
          <w:rFonts w:cstheme="minorHAnsi"/>
        </w:rPr>
        <w:t>,</w:t>
      </w:r>
      <w:r w:rsidRPr="002E0CC5">
        <w:rPr>
          <w:rFonts w:cstheme="minorHAnsi"/>
        </w:rPr>
        <w:t xml:space="preserve"> consultants</w:t>
      </w:r>
      <w:r w:rsidR="00117C0D">
        <w:rPr>
          <w:rFonts w:cstheme="minorHAnsi"/>
        </w:rPr>
        <w:t xml:space="preserve"> and</w:t>
      </w:r>
      <w:r w:rsidRPr="002E0CC5">
        <w:rPr>
          <w:rFonts w:cstheme="minorHAnsi"/>
        </w:rPr>
        <w:t xml:space="preserve"> contractors, agency personnel</w:t>
      </w:r>
      <w:r w:rsidR="00117C0D">
        <w:rPr>
          <w:rFonts w:cstheme="minorHAnsi"/>
        </w:rPr>
        <w:t xml:space="preserve">, </w:t>
      </w:r>
      <w:r w:rsidRPr="002E0CC5">
        <w:rPr>
          <w:rFonts w:cstheme="minorHAnsi"/>
        </w:rPr>
        <w:t>board members</w:t>
      </w:r>
      <w:r w:rsidR="00117C0D">
        <w:rPr>
          <w:rFonts w:cstheme="minorHAnsi"/>
        </w:rPr>
        <w:t xml:space="preserve"> (including non-executive members), interns, trainees</w:t>
      </w:r>
      <w:r w:rsidR="00B42104">
        <w:rPr>
          <w:rFonts w:cstheme="minorHAnsi"/>
        </w:rPr>
        <w:t>,</w:t>
      </w:r>
      <w:r w:rsidR="00117C0D">
        <w:rPr>
          <w:rFonts w:cstheme="minorHAnsi"/>
        </w:rPr>
        <w:t xml:space="preserve"> </w:t>
      </w:r>
      <w:r w:rsidR="00EE3B22">
        <w:rPr>
          <w:rFonts w:cstheme="minorHAnsi"/>
        </w:rPr>
        <w:t>a</w:t>
      </w:r>
      <w:r w:rsidR="00117C0D">
        <w:rPr>
          <w:rFonts w:cstheme="minorHAnsi"/>
        </w:rPr>
        <w:t xml:space="preserve">nd volunteers working in the </w:t>
      </w:r>
      <w:r w:rsidR="00EE3B22">
        <w:rPr>
          <w:rFonts w:cstheme="minorHAnsi"/>
        </w:rPr>
        <w:t>organisation w</w:t>
      </w:r>
      <w:r w:rsidR="00117C0D">
        <w:rPr>
          <w:rFonts w:cstheme="minorHAnsi"/>
        </w:rPr>
        <w:t>ho acquire information on relevant wrongdoings in a work-related context (irrespective of the nature of the work activities). It also includes prospective employees or contractors/consultants who acquire information on relevant wrongdoing during recruitment or pre-contractual negotiations</w:t>
      </w:r>
      <w:r w:rsidRPr="002E0CC5">
        <w:rPr>
          <w:rFonts w:cstheme="minorHAnsi"/>
        </w:rPr>
        <w:t>.</w:t>
      </w:r>
    </w:p>
    <w:p w14:paraId="0E0FF534" w14:textId="7A063ACA" w:rsidR="00C338EE" w:rsidRDefault="00C338EE" w:rsidP="00C338EE">
      <w:pPr>
        <w:pStyle w:val="paragraph"/>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 xml:space="preserve">This policy does </w:t>
      </w:r>
      <w:r w:rsidRPr="00C338EE">
        <w:rPr>
          <w:rStyle w:val="normaltextrun"/>
          <w:rFonts w:ascii="Calibri" w:hAnsi="Calibri" w:cs="Calibri"/>
          <w:sz w:val="22"/>
          <w:szCs w:val="22"/>
          <w:u w:val="single"/>
        </w:rPr>
        <w:t>not</w:t>
      </w:r>
      <w:r>
        <w:rPr>
          <w:rStyle w:val="normaltextrun"/>
          <w:rFonts w:ascii="Calibri" w:hAnsi="Calibri" w:cs="Calibri"/>
          <w:sz w:val="22"/>
          <w:szCs w:val="22"/>
        </w:rPr>
        <w:t xml:space="preserve"> address:</w:t>
      </w:r>
    </w:p>
    <w:p w14:paraId="153E8750" w14:textId="20F15EA2" w:rsidR="00C338EE" w:rsidRDefault="00C338EE" w:rsidP="00C338EE">
      <w:pPr>
        <w:pStyle w:val="paragraph"/>
        <w:numPr>
          <w:ilvl w:val="0"/>
          <w:numId w:val="43"/>
        </w:numPr>
        <w:spacing w:before="0" w:beforeAutospacing="0" w:after="0" w:afterAutospacing="0" w:line="276" w:lineRule="auto"/>
        <w:textAlignment w:val="baseline"/>
        <w:rPr>
          <w:rStyle w:val="eop"/>
          <w:rFonts w:ascii="Calibri" w:hAnsi="Calibri" w:cs="Calibri"/>
          <w:sz w:val="22"/>
          <w:szCs w:val="22"/>
        </w:rPr>
      </w:pPr>
      <w:r>
        <w:rPr>
          <w:rStyle w:val="normaltextrun"/>
          <w:rFonts w:ascii="Calibri" w:hAnsi="Calibri" w:cs="Calibri"/>
          <w:sz w:val="22"/>
          <w:szCs w:val="22"/>
        </w:rPr>
        <w:t xml:space="preserve">allegations of research misconduct or other unacceptable practices, bullying and/or harassment, and poor research governance by a person engaged in </w:t>
      </w: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 xml:space="preserve"> HRB-funded grant activity. These allegations should be made utilising the protected disclosures/whistleblowing procedures of the person’s employing organisation</w:t>
      </w:r>
    </w:p>
    <w:p w14:paraId="1AD9BD1D" w14:textId="2A0DDFD7" w:rsidR="00C338EE" w:rsidRPr="00C338EE" w:rsidRDefault="00C338EE" w:rsidP="00C338EE">
      <w:pPr>
        <w:pStyle w:val="paragraph"/>
        <w:numPr>
          <w:ilvl w:val="0"/>
          <w:numId w:val="43"/>
        </w:numPr>
        <w:spacing w:before="0" w:beforeAutospacing="0" w:after="0" w:afterAutospacing="0" w:line="276" w:lineRule="auto"/>
        <w:textAlignment w:val="baseline"/>
        <w:rPr>
          <w:rFonts w:ascii="Calibri" w:hAnsi="Calibri" w:cs="Calibri"/>
          <w:sz w:val="22"/>
          <w:szCs w:val="22"/>
        </w:rPr>
      </w:pPr>
      <w:r w:rsidRPr="00C338EE">
        <w:rPr>
          <w:rStyle w:val="normaltextrun"/>
          <w:rFonts w:ascii="Calibri" w:hAnsi="Calibri" w:cs="Calibri"/>
          <w:sz w:val="22"/>
          <w:szCs w:val="22"/>
        </w:rPr>
        <w:t>allegations of misconduct or unacceptable practices, bullying and/or harassment, and data governance by a person engaged by the HSE or other service provider in data collection or management activities on HRB databases.  These allegations should be made utilising the protected disclosures/whistleblowing procedures of the person’s employing organisation.</w:t>
      </w:r>
      <w:r w:rsidRPr="00C338EE">
        <w:rPr>
          <w:rStyle w:val="eop"/>
          <w:rFonts w:ascii="Calibri" w:hAnsi="Calibri" w:cs="Calibri"/>
          <w:sz w:val="22"/>
          <w:szCs w:val="22"/>
        </w:rPr>
        <w:t> </w:t>
      </w:r>
    </w:p>
    <w:p w14:paraId="4D971C38" w14:textId="3922696F" w:rsidR="00C338EE" w:rsidRDefault="00C338EE" w:rsidP="00EE3B22">
      <w:pPr>
        <w:spacing w:after="120" w:line="276" w:lineRule="auto"/>
        <w:rPr>
          <w:rFonts w:cstheme="minorHAnsi"/>
        </w:rPr>
      </w:pPr>
    </w:p>
    <w:p w14:paraId="1CD96841" w14:textId="77777777" w:rsidR="00EE3B22" w:rsidRPr="002E0CC5" w:rsidRDefault="00EE3B22" w:rsidP="00EE3B22">
      <w:pPr>
        <w:spacing w:after="120" w:line="276" w:lineRule="auto"/>
        <w:rPr>
          <w:rFonts w:cstheme="minorHAnsi"/>
        </w:rPr>
      </w:pPr>
    </w:p>
    <w:p w14:paraId="44EB8CDE" w14:textId="77777777" w:rsidR="0081122B" w:rsidRPr="00760253" w:rsidRDefault="0081122B" w:rsidP="0081122B">
      <w:pPr>
        <w:pStyle w:val="Heading1"/>
        <w:numPr>
          <w:ilvl w:val="0"/>
          <w:numId w:val="14"/>
        </w:numPr>
        <w:spacing w:after="60" w:line="276" w:lineRule="auto"/>
        <w:rPr>
          <w:color w:val="2F5496" w:themeColor="accent1" w:themeShade="BF"/>
          <w:szCs w:val="24"/>
        </w:rPr>
      </w:pPr>
      <w:bookmarkStart w:id="2" w:name="_Toc20142867"/>
      <w:bookmarkStart w:id="3" w:name="_Toc20142946"/>
      <w:bookmarkStart w:id="4" w:name="_Toc22301676"/>
      <w:bookmarkStart w:id="5" w:name="_Toc20142868"/>
      <w:bookmarkStart w:id="6" w:name="_Toc20142947"/>
      <w:bookmarkStart w:id="7" w:name="_Toc22301677"/>
      <w:bookmarkStart w:id="8" w:name="_Toc20142869"/>
      <w:bookmarkStart w:id="9" w:name="_Toc20142948"/>
      <w:bookmarkStart w:id="10" w:name="_Toc22301678"/>
      <w:bookmarkStart w:id="11" w:name="_Toc20142870"/>
      <w:bookmarkStart w:id="12" w:name="_Toc20142949"/>
      <w:bookmarkStart w:id="13" w:name="_Toc22301679"/>
      <w:bookmarkStart w:id="14" w:name="_Toc120448334"/>
      <w:bookmarkEnd w:id="2"/>
      <w:bookmarkEnd w:id="3"/>
      <w:bookmarkEnd w:id="4"/>
      <w:bookmarkEnd w:id="5"/>
      <w:bookmarkEnd w:id="6"/>
      <w:bookmarkEnd w:id="7"/>
      <w:bookmarkEnd w:id="8"/>
      <w:bookmarkEnd w:id="9"/>
      <w:bookmarkEnd w:id="10"/>
      <w:bookmarkEnd w:id="11"/>
      <w:bookmarkEnd w:id="12"/>
      <w:bookmarkEnd w:id="13"/>
      <w:r w:rsidRPr="00760253">
        <w:rPr>
          <w:color w:val="2F5496" w:themeColor="accent1" w:themeShade="BF"/>
          <w:szCs w:val="24"/>
        </w:rPr>
        <w:t>Aims and Scope of this policy</w:t>
      </w:r>
      <w:bookmarkStart w:id="15" w:name="_Toc260245080"/>
      <w:bookmarkEnd w:id="14"/>
    </w:p>
    <w:p w14:paraId="1B8805E1" w14:textId="04F12644" w:rsidR="0081122B" w:rsidRPr="00F25A79" w:rsidRDefault="0081122B" w:rsidP="00B80B99">
      <w:pPr>
        <w:spacing w:after="200" w:line="276" w:lineRule="auto"/>
        <w:jc w:val="both"/>
        <w:rPr>
          <w:rFonts w:cstheme="minorHAnsi"/>
        </w:rPr>
      </w:pPr>
      <w:r w:rsidRPr="00750F08">
        <w:rPr>
          <w:rFonts w:cstheme="minorHAnsi"/>
        </w:rPr>
        <w:t xml:space="preserve">This policy sets out the procedure for </w:t>
      </w:r>
      <w:r w:rsidR="003F358B">
        <w:rPr>
          <w:rFonts w:cstheme="minorHAnsi"/>
        </w:rPr>
        <w:t>workers</w:t>
      </w:r>
      <w:r w:rsidR="003F358B" w:rsidRPr="00750F08">
        <w:rPr>
          <w:rFonts w:cstheme="minorHAnsi"/>
        </w:rPr>
        <w:t xml:space="preserve"> </w:t>
      </w:r>
      <w:r w:rsidRPr="00750F08">
        <w:rPr>
          <w:rFonts w:cstheme="minorHAnsi"/>
        </w:rPr>
        <w:t xml:space="preserve">to follow if they </w:t>
      </w:r>
      <w:r w:rsidR="00117C0D" w:rsidRPr="00BF1CBB">
        <w:rPr>
          <w:rFonts w:cstheme="minorHAnsi"/>
        </w:rPr>
        <w:t xml:space="preserve">are making a protected disclosure which under the Act is the disclosure of relevant information by a worker in a manner prescribed by the Act. </w:t>
      </w:r>
      <w:r w:rsidRPr="00F25A79">
        <w:rPr>
          <w:rFonts w:cstheme="minorHAnsi"/>
        </w:rPr>
        <w:t xml:space="preserve"> </w:t>
      </w:r>
    </w:p>
    <w:p w14:paraId="683F9EA9" w14:textId="6D6989F8" w:rsidR="00E6780E" w:rsidRPr="00BF1CBB" w:rsidRDefault="00E6780E" w:rsidP="00B80B99">
      <w:pPr>
        <w:rPr>
          <w:lang w:val="en-GB"/>
        </w:rPr>
      </w:pPr>
      <w:r w:rsidRPr="00F25A79">
        <w:rPr>
          <w:lang w:val="en-GB"/>
        </w:rPr>
        <w:t>Information is “</w:t>
      </w:r>
      <w:r w:rsidRPr="00F25A79">
        <w:rPr>
          <w:b/>
          <w:lang w:val="en-GB"/>
        </w:rPr>
        <w:t>relevant information</w:t>
      </w:r>
      <w:r w:rsidRPr="00F25A79">
        <w:rPr>
          <w:lang w:val="en-GB"/>
        </w:rPr>
        <w:t>” if: (a) in t</w:t>
      </w:r>
      <w:r w:rsidRPr="00B23C98">
        <w:rPr>
          <w:lang w:val="en-GB"/>
        </w:rPr>
        <w:t xml:space="preserve">he </w:t>
      </w:r>
      <w:r w:rsidRPr="00B23C98">
        <w:rPr>
          <w:u w:val="single"/>
          <w:lang w:val="en-GB"/>
        </w:rPr>
        <w:t>reasonable belief</w:t>
      </w:r>
      <w:r w:rsidRPr="00B23C98">
        <w:rPr>
          <w:lang w:val="en-GB"/>
        </w:rPr>
        <w:t xml:space="preserve"> of the worker it tends to show one or more relevant wrongdoings; and (b) it came to the attention of the workers in a work-related context.  Under the Act, “</w:t>
      </w:r>
      <w:r w:rsidRPr="00B23C98">
        <w:rPr>
          <w:b/>
          <w:lang w:val="en-GB"/>
        </w:rPr>
        <w:t>relevant wrongdoing</w:t>
      </w:r>
      <w:r w:rsidRPr="00B23C98">
        <w:rPr>
          <w:lang w:val="en-GB"/>
        </w:rPr>
        <w:t>” is where</w:t>
      </w:r>
      <w:r w:rsidRPr="00BF1CBB">
        <w:rPr>
          <w:lang w:val="en-GB"/>
        </w:rPr>
        <w:t>:</w:t>
      </w:r>
    </w:p>
    <w:p w14:paraId="6BB6B699" w14:textId="786ED677" w:rsidR="00E6780E" w:rsidRPr="00B80B99" w:rsidRDefault="00E6780E" w:rsidP="00760253">
      <w:pPr>
        <w:pStyle w:val="ListParagraph"/>
        <w:numPr>
          <w:ilvl w:val="0"/>
          <w:numId w:val="41"/>
        </w:numPr>
        <w:spacing w:line="276" w:lineRule="auto"/>
        <w:ind w:left="714" w:hanging="357"/>
        <w:rPr>
          <w:rFonts w:asciiTheme="minorHAnsi" w:eastAsia="MS Mincho" w:hAnsiTheme="minorHAnsi" w:cstheme="minorHAnsi"/>
          <w:sz w:val="22"/>
          <w:szCs w:val="22"/>
        </w:rPr>
      </w:pPr>
      <w:r w:rsidRPr="00F25A79">
        <w:rPr>
          <w:rFonts w:eastAsia="MS Mincho"/>
        </w:rPr>
        <w:t xml:space="preserve">an </w:t>
      </w:r>
      <w:r w:rsidRPr="00B80B99">
        <w:rPr>
          <w:rFonts w:asciiTheme="minorHAnsi" w:eastAsia="MS Mincho" w:hAnsiTheme="minorHAnsi" w:cstheme="minorHAnsi"/>
          <w:sz w:val="22"/>
          <w:szCs w:val="22"/>
        </w:rPr>
        <w:t xml:space="preserve">offence has been, is being or is likely to be </w:t>
      </w:r>
      <w:proofErr w:type="gramStart"/>
      <w:r w:rsidRPr="00B80B99">
        <w:rPr>
          <w:rFonts w:asciiTheme="minorHAnsi" w:eastAsia="MS Mincho" w:hAnsiTheme="minorHAnsi" w:cstheme="minorHAnsi"/>
          <w:sz w:val="22"/>
          <w:szCs w:val="22"/>
        </w:rPr>
        <w:t>committed;</w:t>
      </w:r>
      <w:proofErr w:type="gramEnd"/>
    </w:p>
    <w:p w14:paraId="5B87F96D" w14:textId="04936AD7" w:rsidR="00E6780E" w:rsidRPr="00B80B99"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t>a person has failed, is failing or is likely to fail to comply with any legal obligation (other than a duty under the worker’s contract of employment or such other contract requiring the worker to perform work personally</w:t>
      </w:r>
      <w:proofErr w:type="gramStart"/>
      <w:r w:rsidRPr="00B80B99">
        <w:rPr>
          <w:rFonts w:asciiTheme="minorHAnsi" w:eastAsia="MS Mincho" w:hAnsiTheme="minorHAnsi" w:cstheme="minorHAnsi"/>
          <w:sz w:val="22"/>
          <w:szCs w:val="22"/>
        </w:rPr>
        <w:t>);</w:t>
      </w:r>
      <w:proofErr w:type="gramEnd"/>
    </w:p>
    <w:p w14:paraId="0A78AF88" w14:textId="3E418927" w:rsidR="00E6780E" w:rsidRPr="00B80B99"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t xml:space="preserve">a miscarriage of justice has occurred, is occurring or is likely to </w:t>
      </w:r>
      <w:proofErr w:type="gramStart"/>
      <w:r w:rsidRPr="00B80B99">
        <w:rPr>
          <w:rFonts w:asciiTheme="minorHAnsi" w:eastAsia="MS Mincho" w:hAnsiTheme="minorHAnsi" w:cstheme="minorHAnsi"/>
          <w:sz w:val="22"/>
          <w:szCs w:val="22"/>
        </w:rPr>
        <w:t>occur;</w:t>
      </w:r>
      <w:proofErr w:type="gramEnd"/>
    </w:p>
    <w:p w14:paraId="52F29B38" w14:textId="0846FC64" w:rsidR="00E6780E" w:rsidRPr="00B80B99"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t xml:space="preserve">an individual’s health or safety has been, is being or is likely to be </w:t>
      </w:r>
      <w:proofErr w:type="gramStart"/>
      <w:r w:rsidRPr="00B80B99">
        <w:rPr>
          <w:rFonts w:asciiTheme="minorHAnsi" w:eastAsia="MS Mincho" w:hAnsiTheme="minorHAnsi" w:cstheme="minorHAnsi"/>
          <w:sz w:val="22"/>
          <w:szCs w:val="22"/>
        </w:rPr>
        <w:t>damaged;</w:t>
      </w:r>
      <w:proofErr w:type="gramEnd"/>
    </w:p>
    <w:p w14:paraId="403990A1" w14:textId="2DD2B73E" w:rsidR="00E6780E" w:rsidRPr="00B80B99"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t xml:space="preserve">the environment has been, is being or is likely to be </w:t>
      </w:r>
      <w:proofErr w:type="gramStart"/>
      <w:r w:rsidRPr="00B80B99">
        <w:rPr>
          <w:rFonts w:asciiTheme="minorHAnsi" w:eastAsia="MS Mincho" w:hAnsiTheme="minorHAnsi" w:cstheme="minorHAnsi"/>
          <w:sz w:val="22"/>
          <w:szCs w:val="22"/>
        </w:rPr>
        <w:t>damaged;</w:t>
      </w:r>
      <w:proofErr w:type="gramEnd"/>
    </w:p>
    <w:p w14:paraId="7B6E4FCB" w14:textId="25FB678C" w:rsidR="00E6780E" w:rsidRPr="00B80B99"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t xml:space="preserve">unlawful or improper use of a public body’s funds or resources or of other public money has occurred, is occurring or is likely to </w:t>
      </w:r>
      <w:proofErr w:type="gramStart"/>
      <w:r w:rsidRPr="00B80B99">
        <w:rPr>
          <w:rFonts w:asciiTheme="minorHAnsi" w:eastAsia="MS Mincho" w:hAnsiTheme="minorHAnsi" w:cstheme="minorHAnsi"/>
          <w:sz w:val="22"/>
          <w:szCs w:val="22"/>
        </w:rPr>
        <w:t>occur;</w:t>
      </w:r>
      <w:proofErr w:type="gramEnd"/>
    </w:p>
    <w:p w14:paraId="51F820BF" w14:textId="21C4D8AB" w:rsidR="00E6780E" w:rsidRPr="00B80B99"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lastRenderedPageBreak/>
        <w:t xml:space="preserve">an act or omission by or on behalf of a public body is oppressive, discriminatory or grossly negligent or constitutes gross </w:t>
      </w:r>
      <w:proofErr w:type="gramStart"/>
      <w:r w:rsidRPr="00B80B99">
        <w:rPr>
          <w:rFonts w:asciiTheme="minorHAnsi" w:eastAsia="MS Mincho" w:hAnsiTheme="minorHAnsi" w:cstheme="minorHAnsi"/>
          <w:sz w:val="22"/>
          <w:szCs w:val="22"/>
        </w:rPr>
        <w:t>mismanagement;</w:t>
      </w:r>
      <w:proofErr w:type="gramEnd"/>
      <w:r w:rsidRPr="00B80B99">
        <w:rPr>
          <w:rFonts w:asciiTheme="minorHAnsi" w:eastAsia="MS Mincho" w:hAnsiTheme="minorHAnsi" w:cstheme="minorHAnsi"/>
          <w:sz w:val="22"/>
          <w:szCs w:val="22"/>
        </w:rPr>
        <w:t xml:space="preserve"> </w:t>
      </w:r>
    </w:p>
    <w:p w14:paraId="370D1EEC" w14:textId="2EA6B58A" w:rsidR="00E6780E" w:rsidRDefault="00E6780E" w:rsidP="00B80B99">
      <w:pPr>
        <w:pStyle w:val="ListParagraph"/>
        <w:numPr>
          <w:ilvl w:val="0"/>
          <w:numId w:val="41"/>
        </w:numPr>
        <w:spacing w:line="276" w:lineRule="auto"/>
        <w:ind w:left="714" w:hanging="357"/>
        <w:rPr>
          <w:rFonts w:asciiTheme="minorHAnsi" w:eastAsia="MS Mincho" w:hAnsiTheme="minorHAnsi" w:cstheme="minorHAnsi"/>
          <w:sz w:val="22"/>
          <w:szCs w:val="22"/>
        </w:rPr>
      </w:pPr>
      <w:r w:rsidRPr="00B80B99">
        <w:rPr>
          <w:rFonts w:asciiTheme="minorHAnsi" w:eastAsia="MS Mincho" w:hAnsiTheme="minorHAnsi" w:cstheme="minorHAnsi"/>
          <w:sz w:val="22"/>
          <w:szCs w:val="22"/>
        </w:rPr>
        <w:t>a ‘breach’ has occurred, is occurring or is likely to occur. ‘Breach’ means an act or omission that is unlawful and which (a) falls within the scope of EU law concerning public procurement; financial services, products and markets, and prevention of money laundering and terrorist financing; product safety and compliance; transport safety; protection of the environment; radiation protection and nuclear safety; food and feed safety and animal health and welfare; public health; consumer protection; protection of privacy and personal data, and security of network and information systems; or (b) affects the financial interests of the European Union or relates to the internal market of the European Union; or</w:t>
      </w:r>
    </w:p>
    <w:p w14:paraId="74C7F8A9" w14:textId="26F96AB2" w:rsidR="0055752A" w:rsidRPr="00DD08DD" w:rsidRDefault="00E6780E" w:rsidP="00DD08DD">
      <w:pPr>
        <w:pStyle w:val="ListParagraph"/>
        <w:numPr>
          <w:ilvl w:val="0"/>
          <w:numId w:val="41"/>
        </w:numPr>
        <w:spacing w:line="276" w:lineRule="auto"/>
        <w:ind w:left="714" w:hanging="357"/>
        <w:rPr>
          <w:rFonts w:asciiTheme="minorHAnsi" w:eastAsia="MS Mincho" w:hAnsiTheme="minorHAnsi" w:cstheme="minorHAnsi"/>
          <w:sz w:val="22"/>
          <w:szCs w:val="22"/>
        </w:rPr>
      </w:pPr>
      <w:r w:rsidRPr="00DD08DD">
        <w:rPr>
          <w:rFonts w:asciiTheme="minorHAnsi" w:hAnsiTheme="minorHAnsi" w:cstheme="minorHAnsi"/>
          <w:sz w:val="22"/>
          <w:szCs w:val="22"/>
        </w:rPr>
        <w:t>information tending to show any of the above matters has been, is being or is likely to be concealed or destroyed.</w:t>
      </w:r>
    </w:p>
    <w:p w14:paraId="0EEA5EA0" w14:textId="77777777" w:rsidR="00B80B99" w:rsidRPr="00DD08DD" w:rsidRDefault="00B80B99" w:rsidP="0081122B">
      <w:pPr>
        <w:spacing w:after="0"/>
        <w:jc w:val="both"/>
        <w:rPr>
          <w:rFonts w:cstheme="minorHAnsi"/>
        </w:rPr>
      </w:pPr>
    </w:p>
    <w:p w14:paraId="3A41D7D6" w14:textId="77777777" w:rsidR="00B80B99" w:rsidRDefault="00B80B99" w:rsidP="0081122B">
      <w:pPr>
        <w:spacing w:after="0"/>
        <w:jc w:val="both"/>
        <w:rPr>
          <w:rFonts w:cstheme="minorHAnsi"/>
        </w:rPr>
      </w:pPr>
    </w:p>
    <w:p w14:paraId="4C564B6D" w14:textId="778EBEFD" w:rsidR="0081122B" w:rsidRPr="00BF1CBB" w:rsidRDefault="0081122B" w:rsidP="0081122B">
      <w:pPr>
        <w:spacing w:after="0"/>
        <w:jc w:val="both"/>
        <w:rPr>
          <w:rFonts w:cstheme="minorHAnsi"/>
        </w:rPr>
      </w:pPr>
      <w:r w:rsidRPr="00BF1CBB">
        <w:rPr>
          <w:rFonts w:cstheme="minorHAnsi"/>
        </w:rPr>
        <w:t>This policy aims to:</w:t>
      </w:r>
      <w:bookmarkEnd w:id="15"/>
    </w:p>
    <w:p w14:paraId="25986167" w14:textId="5F772AF5" w:rsidR="0081122B" w:rsidRPr="00340925" w:rsidRDefault="0081122B" w:rsidP="0081122B">
      <w:pPr>
        <w:pStyle w:val="ListParagraph"/>
        <w:numPr>
          <w:ilvl w:val="0"/>
          <w:numId w:val="8"/>
        </w:numPr>
        <w:spacing w:line="276" w:lineRule="auto"/>
        <w:ind w:left="360"/>
        <w:jc w:val="both"/>
        <w:rPr>
          <w:rFonts w:asciiTheme="minorHAnsi" w:hAnsiTheme="minorHAnsi" w:cstheme="minorHAnsi"/>
          <w:sz w:val="22"/>
          <w:szCs w:val="22"/>
        </w:rPr>
      </w:pPr>
      <w:r w:rsidRPr="00BF1CBB">
        <w:rPr>
          <w:rFonts w:asciiTheme="minorHAnsi" w:hAnsiTheme="minorHAnsi" w:cstheme="minorHAnsi"/>
          <w:sz w:val="22"/>
          <w:szCs w:val="22"/>
        </w:rPr>
        <w:t xml:space="preserve">Encourage </w:t>
      </w:r>
      <w:r w:rsidR="003F358B">
        <w:rPr>
          <w:rFonts w:asciiTheme="minorHAnsi" w:hAnsiTheme="minorHAnsi" w:cstheme="minorHAnsi"/>
          <w:sz w:val="22"/>
          <w:szCs w:val="22"/>
        </w:rPr>
        <w:t xml:space="preserve">workers </w:t>
      </w:r>
      <w:r w:rsidRPr="00BF1CBB">
        <w:rPr>
          <w:rFonts w:asciiTheme="minorHAnsi" w:hAnsiTheme="minorHAnsi" w:cstheme="minorHAnsi"/>
          <w:sz w:val="22"/>
          <w:szCs w:val="22"/>
        </w:rPr>
        <w:t>to feel confident in raising any concerns and that they will</w:t>
      </w:r>
      <w:r w:rsidRPr="00750F08">
        <w:rPr>
          <w:rFonts w:asciiTheme="minorHAnsi" w:hAnsiTheme="minorHAnsi" w:cstheme="minorHAnsi"/>
          <w:sz w:val="22"/>
          <w:szCs w:val="22"/>
        </w:rPr>
        <w:t xml:space="preserve"> be addressed in </w:t>
      </w:r>
      <w:r w:rsidR="00593B55">
        <w:rPr>
          <w:rFonts w:asciiTheme="minorHAnsi" w:hAnsiTheme="minorHAnsi" w:cstheme="minorHAnsi"/>
          <w:sz w:val="22"/>
          <w:szCs w:val="22"/>
        </w:rPr>
        <w:t xml:space="preserve">accordance with the Act. </w:t>
      </w:r>
    </w:p>
    <w:p w14:paraId="61DD66DC" w14:textId="1CDB900F" w:rsidR="0081122B" w:rsidRPr="00DF56CC" w:rsidRDefault="0081122B" w:rsidP="0081122B">
      <w:pPr>
        <w:pStyle w:val="ListParagraph"/>
        <w:numPr>
          <w:ilvl w:val="0"/>
          <w:numId w:val="8"/>
        </w:numPr>
        <w:spacing w:line="276" w:lineRule="auto"/>
        <w:ind w:left="360"/>
        <w:jc w:val="both"/>
        <w:rPr>
          <w:rFonts w:asciiTheme="minorHAnsi" w:hAnsiTheme="minorHAnsi" w:cstheme="minorHAnsi"/>
          <w:sz w:val="22"/>
          <w:szCs w:val="22"/>
        </w:rPr>
      </w:pPr>
      <w:r w:rsidRPr="00340925">
        <w:rPr>
          <w:rFonts w:asciiTheme="minorHAnsi" w:hAnsiTheme="minorHAnsi" w:cstheme="minorHAnsi"/>
          <w:sz w:val="22"/>
          <w:szCs w:val="22"/>
        </w:rPr>
        <w:t>To provide clear avenues for</w:t>
      </w:r>
      <w:r w:rsidR="003F358B">
        <w:rPr>
          <w:rFonts w:asciiTheme="minorHAnsi" w:hAnsiTheme="minorHAnsi" w:cstheme="minorHAnsi"/>
          <w:sz w:val="22"/>
          <w:szCs w:val="22"/>
        </w:rPr>
        <w:t xml:space="preserve"> </w:t>
      </w:r>
      <w:r w:rsidR="0055752A">
        <w:rPr>
          <w:rFonts w:asciiTheme="minorHAnsi" w:hAnsiTheme="minorHAnsi" w:cstheme="minorHAnsi"/>
          <w:sz w:val="22"/>
          <w:szCs w:val="22"/>
        </w:rPr>
        <w:t xml:space="preserve">a </w:t>
      </w:r>
      <w:r w:rsidR="003F358B">
        <w:rPr>
          <w:rFonts w:asciiTheme="minorHAnsi" w:hAnsiTheme="minorHAnsi" w:cstheme="minorHAnsi"/>
          <w:sz w:val="22"/>
          <w:szCs w:val="22"/>
        </w:rPr>
        <w:t>worker</w:t>
      </w:r>
      <w:r w:rsidRPr="00340925">
        <w:rPr>
          <w:rFonts w:asciiTheme="minorHAnsi" w:hAnsiTheme="minorHAnsi" w:cstheme="minorHAnsi"/>
          <w:sz w:val="22"/>
          <w:szCs w:val="22"/>
        </w:rPr>
        <w:t xml:space="preserve"> to raise those concerns, to ensure the </w:t>
      </w:r>
      <w:r w:rsidR="004A6EA0">
        <w:rPr>
          <w:rFonts w:asciiTheme="minorHAnsi" w:hAnsiTheme="minorHAnsi" w:cstheme="minorHAnsi"/>
          <w:sz w:val="22"/>
          <w:szCs w:val="22"/>
        </w:rPr>
        <w:t>worker</w:t>
      </w:r>
      <w:r w:rsidRPr="00340925">
        <w:rPr>
          <w:rFonts w:asciiTheme="minorHAnsi" w:hAnsiTheme="minorHAnsi" w:cstheme="minorHAnsi"/>
          <w:sz w:val="22"/>
          <w:szCs w:val="22"/>
        </w:rPr>
        <w:t xml:space="preserve"> receive</w:t>
      </w:r>
      <w:r w:rsidR="00DF56CC">
        <w:rPr>
          <w:rFonts w:asciiTheme="minorHAnsi" w:hAnsiTheme="minorHAnsi" w:cstheme="minorHAnsi"/>
          <w:sz w:val="22"/>
          <w:szCs w:val="22"/>
        </w:rPr>
        <w:t>s</w:t>
      </w:r>
      <w:r w:rsidRPr="00340925">
        <w:rPr>
          <w:rFonts w:asciiTheme="minorHAnsi" w:hAnsiTheme="minorHAnsi" w:cstheme="minorHAnsi"/>
          <w:sz w:val="22"/>
          <w:szCs w:val="22"/>
        </w:rPr>
        <w:t xml:space="preserve"> a response to their concern</w:t>
      </w:r>
      <w:r w:rsidR="00DF56CC" w:rsidRPr="00285CC3">
        <w:rPr>
          <w:rFonts w:asciiTheme="minorHAnsi" w:hAnsiTheme="minorHAnsi" w:cstheme="minorHAnsi"/>
          <w:sz w:val="22"/>
          <w:szCs w:val="22"/>
        </w:rPr>
        <w:t xml:space="preserve"> as soon as </w:t>
      </w:r>
      <w:r w:rsidR="00B80B99" w:rsidRPr="00285CC3">
        <w:rPr>
          <w:rFonts w:asciiTheme="minorHAnsi" w:hAnsiTheme="minorHAnsi" w:cstheme="minorHAnsi"/>
          <w:sz w:val="22"/>
          <w:szCs w:val="22"/>
        </w:rPr>
        <w:t>practicable</w:t>
      </w:r>
      <w:r w:rsidR="00B80B99">
        <w:rPr>
          <w:rFonts w:asciiTheme="minorHAnsi" w:hAnsiTheme="minorHAnsi" w:cstheme="minorHAnsi"/>
          <w:sz w:val="22"/>
          <w:szCs w:val="22"/>
        </w:rPr>
        <w:t xml:space="preserve"> and</w:t>
      </w:r>
      <w:r w:rsidRPr="00340925">
        <w:rPr>
          <w:rFonts w:asciiTheme="minorHAnsi" w:hAnsiTheme="minorHAnsi" w:cstheme="minorHAnsi"/>
          <w:sz w:val="22"/>
          <w:szCs w:val="22"/>
        </w:rPr>
        <w:t xml:space="preserve"> receive</w:t>
      </w:r>
      <w:r w:rsidR="00DF56CC">
        <w:rPr>
          <w:rFonts w:asciiTheme="minorHAnsi" w:hAnsiTheme="minorHAnsi" w:cstheme="minorHAnsi"/>
          <w:sz w:val="22"/>
          <w:szCs w:val="22"/>
        </w:rPr>
        <w:t>s</w:t>
      </w:r>
      <w:r w:rsidRPr="00340925">
        <w:rPr>
          <w:rFonts w:asciiTheme="minorHAnsi" w:hAnsiTheme="minorHAnsi" w:cstheme="minorHAnsi"/>
          <w:sz w:val="22"/>
          <w:szCs w:val="22"/>
        </w:rPr>
        <w:t xml:space="preserve"> feedback on any action taken</w:t>
      </w:r>
      <w:r w:rsidR="00DF56CC" w:rsidRPr="00DF56CC">
        <w:rPr>
          <w:rFonts w:asciiTheme="minorHAnsi" w:hAnsiTheme="minorHAnsi" w:cstheme="minorHAnsi"/>
          <w:sz w:val="22"/>
          <w:szCs w:val="22"/>
        </w:rPr>
        <w:t xml:space="preserve"> within a reasonable period. </w:t>
      </w:r>
    </w:p>
    <w:p w14:paraId="05BFF9D7" w14:textId="3D8972D9" w:rsidR="0081122B" w:rsidRPr="00DF56CC" w:rsidRDefault="0081122B" w:rsidP="00593B55">
      <w:pPr>
        <w:pStyle w:val="ListParagraph"/>
        <w:numPr>
          <w:ilvl w:val="0"/>
          <w:numId w:val="8"/>
        </w:numPr>
        <w:spacing w:line="276" w:lineRule="auto"/>
        <w:ind w:left="360"/>
        <w:jc w:val="both"/>
        <w:rPr>
          <w:rFonts w:asciiTheme="minorHAnsi" w:hAnsiTheme="minorHAnsi" w:cstheme="minorHAnsi"/>
          <w:sz w:val="22"/>
          <w:szCs w:val="22"/>
        </w:rPr>
      </w:pPr>
      <w:r w:rsidRPr="00DF56CC">
        <w:rPr>
          <w:rFonts w:asciiTheme="minorHAnsi" w:hAnsiTheme="minorHAnsi" w:cstheme="minorHAnsi"/>
          <w:sz w:val="22"/>
          <w:szCs w:val="22"/>
        </w:rPr>
        <w:t xml:space="preserve">Reassure </w:t>
      </w:r>
      <w:r w:rsidR="003F358B">
        <w:rPr>
          <w:rFonts w:asciiTheme="minorHAnsi" w:hAnsiTheme="minorHAnsi" w:cstheme="minorHAnsi"/>
          <w:sz w:val="22"/>
          <w:szCs w:val="22"/>
        </w:rPr>
        <w:t xml:space="preserve">workers </w:t>
      </w:r>
      <w:r w:rsidRPr="00DF56CC">
        <w:rPr>
          <w:rFonts w:asciiTheme="minorHAnsi" w:hAnsiTheme="minorHAnsi" w:cstheme="minorHAnsi"/>
          <w:sz w:val="22"/>
          <w:szCs w:val="22"/>
        </w:rPr>
        <w:t xml:space="preserve">that they will be protected from </w:t>
      </w:r>
      <w:r w:rsidR="00493107" w:rsidRPr="00DF56CC">
        <w:rPr>
          <w:rFonts w:asciiTheme="minorHAnsi" w:hAnsiTheme="minorHAnsi" w:cstheme="minorHAnsi"/>
          <w:sz w:val="22"/>
          <w:szCs w:val="22"/>
        </w:rPr>
        <w:t>penalisation</w:t>
      </w:r>
      <w:r w:rsidR="00593B55" w:rsidRPr="00DF56CC">
        <w:rPr>
          <w:rFonts w:asciiTheme="minorHAnsi" w:hAnsiTheme="minorHAnsi" w:cstheme="minorHAnsi"/>
          <w:sz w:val="22"/>
          <w:szCs w:val="22"/>
        </w:rPr>
        <w:t xml:space="preserve"> as defined below in </w:t>
      </w:r>
      <w:r w:rsidR="00B4276C" w:rsidRPr="00DF56CC">
        <w:rPr>
          <w:rFonts w:asciiTheme="minorHAnsi" w:hAnsiTheme="minorHAnsi" w:cstheme="minorHAnsi"/>
          <w:sz w:val="22"/>
          <w:szCs w:val="22"/>
        </w:rPr>
        <w:t>clause 3.</w:t>
      </w:r>
    </w:p>
    <w:p w14:paraId="3653E15B" w14:textId="77777777" w:rsidR="0081122B" w:rsidRPr="00B42104" w:rsidRDefault="0081122B" w:rsidP="0081122B">
      <w:pPr>
        <w:spacing w:after="0"/>
        <w:jc w:val="both"/>
        <w:rPr>
          <w:rFonts w:cstheme="minorHAnsi"/>
        </w:rPr>
      </w:pPr>
    </w:p>
    <w:p w14:paraId="6AAC5F63" w14:textId="77777777" w:rsidR="00340925" w:rsidRDefault="0081122B" w:rsidP="0081122B">
      <w:pPr>
        <w:jc w:val="both"/>
        <w:rPr>
          <w:rFonts w:cstheme="minorHAnsi"/>
        </w:rPr>
      </w:pPr>
      <w:r w:rsidRPr="00B42104">
        <w:rPr>
          <w:rFonts w:cstheme="minorHAnsi"/>
        </w:rPr>
        <w:t>This policy complements other HRB policies including the Grievance Policy, Respect and Dignity Policy, Recruitment and Selection Policy and Safety Statement which are already in pla</w:t>
      </w:r>
      <w:r w:rsidRPr="00F1711C">
        <w:rPr>
          <w:rFonts w:cstheme="minorHAnsi"/>
        </w:rPr>
        <w:t>ce</w:t>
      </w:r>
      <w:r w:rsidR="00E6780E" w:rsidRPr="00F1711C">
        <w:rPr>
          <w:rFonts w:cstheme="minorHAnsi"/>
        </w:rPr>
        <w:t xml:space="preserve"> and workers should consider if </w:t>
      </w:r>
      <w:r w:rsidR="00F1711C">
        <w:rPr>
          <w:rFonts w:cstheme="minorHAnsi"/>
        </w:rPr>
        <w:t>their concern</w:t>
      </w:r>
      <w:r w:rsidR="00E6780E" w:rsidRPr="00F1711C">
        <w:rPr>
          <w:rFonts w:cstheme="minorHAnsi"/>
        </w:rPr>
        <w:t xml:space="preserve"> is more appropriately a matter for one of these policies and procedures.</w:t>
      </w:r>
      <w:r w:rsidR="00750F08">
        <w:rPr>
          <w:rFonts w:cstheme="minorHAnsi"/>
        </w:rPr>
        <w:t xml:space="preserve"> </w:t>
      </w:r>
    </w:p>
    <w:p w14:paraId="66380DB5" w14:textId="77777777" w:rsidR="00C338EE" w:rsidRDefault="00C338EE" w:rsidP="0081122B">
      <w:pPr>
        <w:spacing w:after="0"/>
        <w:jc w:val="both"/>
        <w:rPr>
          <w:rFonts w:cstheme="minorHAnsi"/>
        </w:rPr>
      </w:pPr>
    </w:p>
    <w:p w14:paraId="3E6E0090" w14:textId="77777777" w:rsidR="00C338EE" w:rsidRDefault="00C338EE" w:rsidP="0081122B">
      <w:pPr>
        <w:spacing w:after="0"/>
        <w:jc w:val="both"/>
        <w:rPr>
          <w:rFonts w:cstheme="minorHAnsi"/>
        </w:rPr>
      </w:pPr>
    </w:p>
    <w:p w14:paraId="651E9ABE" w14:textId="0F72B3F2" w:rsidR="0081122B" w:rsidRPr="00DC6F54" w:rsidRDefault="0081122B" w:rsidP="0081122B">
      <w:pPr>
        <w:spacing w:after="0"/>
        <w:jc w:val="both"/>
        <w:rPr>
          <w:rFonts w:cstheme="minorHAnsi"/>
        </w:rPr>
      </w:pPr>
      <w:r w:rsidRPr="00DC6F54">
        <w:rPr>
          <w:rFonts w:cstheme="minorHAnsi"/>
        </w:rPr>
        <w:t>This policy does not form part of a</w:t>
      </w:r>
      <w:r w:rsidR="003F358B">
        <w:rPr>
          <w:rFonts w:cstheme="minorHAnsi"/>
        </w:rPr>
        <w:t xml:space="preserve"> worker’s</w:t>
      </w:r>
      <w:r w:rsidRPr="00DC6F54">
        <w:rPr>
          <w:rFonts w:cstheme="minorHAnsi"/>
        </w:rPr>
        <w:t xml:space="preserve"> contract of employment.  The HRB may amend this policy at any time.</w:t>
      </w:r>
    </w:p>
    <w:p w14:paraId="62235B30" w14:textId="77777777" w:rsidR="0081122B" w:rsidRPr="00B42104" w:rsidRDefault="0081122B" w:rsidP="0081122B">
      <w:pPr>
        <w:spacing w:after="120"/>
        <w:jc w:val="both"/>
        <w:rPr>
          <w:rFonts w:cstheme="minorHAnsi"/>
        </w:rPr>
      </w:pPr>
    </w:p>
    <w:p w14:paraId="016E3D6C" w14:textId="536536C0" w:rsidR="0081122B" w:rsidRPr="00DD08DD" w:rsidRDefault="0081122B" w:rsidP="0081122B">
      <w:pPr>
        <w:pStyle w:val="Heading1"/>
        <w:numPr>
          <w:ilvl w:val="0"/>
          <w:numId w:val="14"/>
        </w:numPr>
        <w:spacing w:after="60" w:line="276" w:lineRule="auto"/>
        <w:rPr>
          <w:color w:val="2F5496" w:themeColor="accent1" w:themeShade="BF"/>
          <w:szCs w:val="24"/>
        </w:rPr>
      </w:pPr>
      <w:bookmarkStart w:id="16" w:name="_Toc120448335"/>
      <w:r w:rsidRPr="00DD08DD">
        <w:rPr>
          <w:color w:val="2F5496" w:themeColor="accent1" w:themeShade="BF"/>
          <w:szCs w:val="24"/>
        </w:rPr>
        <w:t xml:space="preserve">Protection from </w:t>
      </w:r>
      <w:r w:rsidR="00493107" w:rsidRPr="00DD08DD">
        <w:rPr>
          <w:color w:val="2F5496" w:themeColor="accent1" w:themeShade="BF"/>
          <w:szCs w:val="24"/>
        </w:rPr>
        <w:t>Penalisation</w:t>
      </w:r>
      <w:bookmarkEnd w:id="16"/>
      <w:r w:rsidR="00493107" w:rsidRPr="00DD08DD">
        <w:rPr>
          <w:color w:val="2F5496" w:themeColor="accent1" w:themeShade="BF"/>
          <w:szCs w:val="24"/>
        </w:rPr>
        <w:t xml:space="preserve"> </w:t>
      </w:r>
    </w:p>
    <w:p w14:paraId="7D370ACF" w14:textId="6FDDD212" w:rsidR="0081122B" w:rsidRPr="007B542B" w:rsidRDefault="0081122B" w:rsidP="00DD08DD">
      <w:pPr>
        <w:spacing w:after="120"/>
      </w:pPr>
      <w:r w:rsidRPr="007B542B">
        <w:t>The HRB recognises that the decision to report a concern can be a</w:t>
      </w:r>
      <w:r>
        <w:t xml:space="preserve"> difficult one to make. </w:t>
      </w:r>
      <w:r w:rsidR="00614029" w:rsidRPr="00614029">
        <w:t xml:space="preserve">Workers will be protected from </w:t>
      </w:r>
      <w:r w:rsidR="00BF1CBB">
        <w:t>penalisation</w:t>
      </w:r>
      <w:r w:rsidR="00614029" w:rsidRPr="00614029">
        <w:t xml:space="preserve"> as a result of raising a concern under this Policy.  Penalisation means any direct or indirect act or omission which occurs in a work-related context, is prompted by the making of a report and causes or may cause unjustified detriment to </w:t>
      </w:r>
      <w:r w:rsidR="00BF1CBB">
        <w:t>HRB</w:t>
      </w:r>
      <w:r w:rsidR="00614029" w:rsidRPr="00614029">
        <w:t xml:space="preserve"> personnel.  </w:t>
      </w:r>
    </w:p>
    <w:p w14:paraId="0D02E859" w14:textId="2A1BCA01" w:rsidR="004A6EA0" w:rsidRDefault="003F358B" w:rsidP="00DD08DD">
      <w:pPr>
        <w:spacing w:before="120" w:after="120"/>
      </w:pPr>
      <w:r w:rsidRPr="003F358B">
        <w:t>The</w:t>
      </w:r>
      <w:r w:rsidR="008D6789" w:rsidRPr="003F358B">
        <w:t xml:space="preserve"> </w:t>
      </w:r>
      <w:r w:rsidR="00CB6370" w:rsidRPr="004A6EA0">
        <w:t xml:space="preserve">HRB </w:t>
      </w:r>
      <w:r w:rsidR="008D6789" w:rsidRPr="003F358B">
        <w:t xml:space="preserve">takes its obligations to protect </w:t>
      </w:r>
      <w:proofErr w:type="spellStart"/>
      <w:r w:rsidR="008D6789" w:rsidRPr="003F358B">
        <w:t>whistleblowers</w:t>
      </w:r>
      <w:proofErr w:type="spellEnd"/>
      <w:r w:rsidR="008D6789" w:rsidRPr="003F358B">
        <w:t xml:space="preserve"> seriously. </w:t>
      </w:r>
      <w:r w:rsidR="00BF1CBB" w:rsidRPr="003F358B">
        <w:t xml:space="preserve">If a worker believes that they are being subjected to </w:t>
      </w:r>
      <w:r w:rsidR="005352DB">
        <w:t>penalisation</w:t>
      </w:r>
      <w:r w:rsidR="00BF1CBB" w:rsidRPr="003F358B">
        <w:t xml:space="preserve"> as a result of making a disclosure under this </w:t>
      </w:r>
      <w:r w:rsidR="00EF47D8">
        <w:t>Policy</w:t>
      </w:r>
      <w:r w:rsidR="00BF1CBB" w:rsidRPr="003F358B">
        <w:t>, they should info</w:t>
      </w:r>
      <w:r w:rsidR="00382F87">
        <w:t xml:space="preserve">rm their manager immediately.  </w:t>
      </w:r>
      <w:r w:rsidR="008D6789" w:rsidRPr="003F358B">
        <w:t>Anyone proven by a fair proce</w:t>
      </w:r>
      <w:r w:rsidR="00BF1CBB" w:rsidRPr="003F358B">
        <w:t>ss to be responsible for penalis</w:t>
      </w:r>
      <w:r w:rsidR="008D6789" w:rsidRPr="003F358B">
        <w:t xml:space="preserve">ation, or to have hindered (or sought to hinder) the making of a report, </w:t>
      </w:r>
      <w:r w:rsidR="005352DB">
        <w:t>may</w:t>
      </w:r>
      <w:r w:rsidR="008D6789" w:rsidRPr="003F358B">
        <w:t xml:space="preserve"> be subject to disciplinary action in accordance with the </w:t>
      </w:r>
      <w:r w:rsidR="00CB6370" w:rsidRPr="004A6EA0">
        <w:t>HRB’s</w:t>
      </w:r>
      <w:r w:rsidR="008D6789" w:rsidRPr="003F358B">
        <w:t xml:space="preserve"> Disciplinary Procedure, up to and including dismissal.</w:t>
      </w:r>
      <w:r w:rsidR="00593B55" w:rsidRPr="00593B55">
        <w:t xml:space="preserve"> </w:t>
      </w:r>
    </w:p>
    <w:p w14:paraId="692F319F" w14:textId="1CA8A65C" w:rsidR="0081122B" w:rsidRDefault="00593B55" w:rsidP="00DD08DD">
      <w:pPr>
        <w:spacing w:before="120" w:after="120"/>
      </w:pPr>
      <w:r w:rsidRPr="00593B55">
        <w:t>For the avoidance of doubt, reasonable disciplinary, investigative, performance management or other processes or actions which are unconnected with the making of a report do not amount to penalisation.</w:t>
      </w:r>
    </w:p>
    <w:p w14:paraId="5AE58C7C" w14:textId="4CE343F7" w:rsidR="00041FF2" w:rsidRDefault="00041FF2" w:rsidP="0081122B">
      <w:pPr>
        <w:spacing w:before="120" w:after="120"/>
        <w:jc w:val="both"/>
      </w:pPr>
    </w:p>
    <w:p w14:paraId="45B34847" w14:textId="446B780B" w:rsidR="00041FF2" w:rsidRPr="00DD08DD" w:rsidRDefault="00335847" w:rsidP="00A62737">
      <w:pPr>
        <w:pStyle w:val="ListParagraph"/>
        <w:numPr>
          <w:ilvl w:val="0"/>
          <w:numId w:val="14"/>
        </w:numPr>
        <w:spacing w:before="120" w:after="120"/>
        <w:jc w:val="both"/>
        <w:rPr>
          <w:rFonts w:asciiTheme="minorHAnsi" w:hAnsiTheme="minorHAnsi" w:cstheme="minorHAnsi"/>
          <w:b/>
          <w:color w:val="2F5496" w:themeColor="accent1" w:themeShade="BF"/>
          <w:sz w:val="24"/>
        </w:rPr>
      </w:pPr>
      <w:r w:rsidRPr="00DD08DD">
        <w:rPr>
          <w:rFonts w:asciiTheme="minorHAnsi" w:hAnsiTheme="minorHAnsi" w:cstheme="minorHAnsi"/>
          <w:b/>
          <w:color w:val="2F5496" w:themeColor="accent1" w:themeShade="BF"/>
          <w:sz w:val="24"/>
        </w:rPr>
        <w:t>HOW TO RAISE A CONCERN</w:t>
      </w:r>
    </w:p>
    <w:p w14:paraId="31430CDF" w14:textId="0CF38C82" w:rsidR="00236423" w:rsidRDefault="00236423" w:rsidP="00760253">
      <w:pPr>
        <w:spacing w:before="120" w:after="120" w:line="276" w:lineRule="auto"/>
        <w:rPr>
          <w:rFonts w:cstheme="minorHAnsi"/>
        </w:rPr>
      </w:pPr>
      <w:r w:rsidRPr="00236423">
        <w:rPr>
          <w:rFonts w:cstheme="minorHAnsi"/>
        </w:rPr>
        <w:t>As a first step workers should raise concerns with their line manager or Head of Unit.  The earlier a concern is raised, th</w:t>
      </w:r>
      <w:r w:rsidR="00A62737">
        <w:rPr>
          <w:rFonts w:cstheme="minorHAnsi"/>
        </w:rPr>
        <w:t xml:space="preserve">e easier it is to </w:t>
      </w:r>
      <w:proofErr w:type="gramStart"/>
      <w:r w:rsidR="00A62737">
        <w:rPr>
          <w:rFonts w:cstheme="minorHAnsi"/>
        </w:rPr>
        <w:t>take action</w:t>
      </w:r>
      <w:proofErr w:type="gramEnd"/>
      <w:r w:rsidR="00A62737">
        <w:rPr>
          <w:rFonts w:cstheme="minorHAnsi"/>
        </w:rPr>
        <w:t xml:space="preserve">. </w:t>
      </w:r>
      <w:r w:rsidRPr="00236423">
        <w:rPr>
          <w:rFonts w:cstheme="minorHAnsi"/>
        </w:rPr>
        <w:t xml:space="preserve"> If this isn’t possible or the worker feels it is not appropriate due to the nature of the concern, its seriousness, or f</w:t>
      </w:r>
      <w:r w:rsidR="00625AF1">
        <w:rPr>
          <w:rFonts w:cstheme="minorHAnsi"/>
        </w:rPr>
        <w:t xml:space="preserve">or some other reason, then the </w:t>
      </w:r>
      <w:r w:rsidRPr="00236423">
        <w:rPr>
          <w:rFonts w:cstheme="minorHAnsi"/>
        </w:rPr>
        <w:t>worker may raise the concern directly with the Director of Corporate Operations or the CEO.</w:t>
      </w:r>
    </w:p>
    <w:p w14:paraId="68778B6F" w14:textId="3EE39B8C" w:rsidR="00625AF1" w:rsidRPr="00DD08DD" w:rsidRDefault="00341898" w:rsidP="00760253">
      <w:pPr>
        <w:spacing w:line="276" w:lineRule="auto"/>
        <w:rPr>
          <w:rFonts w:cstheme="minorHAnsi"/>
        </w:rPr>
      </w:pPr>
      <w:r>
        <w:rPr>
          <w:rFonts w:cstheme="minorHAnsi"/>
        </w:rPr>
        <w:t>If the worker</w:t>
      </w:r>
      <w:r w:rsidR="00625AF1" w:rsidRPr="00625AF1">
        <w:rPr>
          <w:rFonts w:cstheme="minorHAnsi"/>
        </w:rPr>
        <w:t xml:space="preserve"> </w:t>
      </w:r>
      <w:r w:rsidR="00625AF1" w:rsidRPr="00DD08DD">
        <w:rPr>
          <w:rFonts w:cstheme="minorHAnsi"/>
        </w:rPr>
        <w:t xml:space="preserve">feels the matter is so serious </w:t>
      </w:r>
      <w:r w:rsidRPr="00DD08DD">
        <w:rPr>
          <w:rFonts w:cstheme="minorHAnsi"/>
        </w:rPr>
        <w:t>or that it is appropriate, the worker</w:t>
      </w:r>
      <w:r w:rsidR="00625AF1" w:rsidRPr="00DD08DD">
        <w:rPr>
          <w:rFonts w:cstheme="minorHAnsi"/>
        </w:rPr>
        <w:t xml:space="preserve"> may contact the Chairperson of the Board or the Chairperson of the Audit &amp; Risk Committee or a member of the Board.</w:t>
      </w:r>
    </w:p>
    <w:p w14:paraId="564D299E" w14:textId="43778743" w:rsidR="005704F1" w:rsidRPr="00DD08DD" w:rsidRDefault="00625AF1" w:rsidP="00760253">
      <w:pPr>
        <w:spacing w:line="276" w:lineRule="auto"/>
        <w:rPr>
          <w:rFonts w:cstheme="minorHAnsi"/>
        </w:rPr>
      </w:pPr>
      <w:r w:rsidRPr="00DD08DD">
        <w:rPr>
          <w:rFonts w:cstheme="minorHAnsi"/>
        </w:rPr>
        <w:t>Concerns may be raised</w:t>
      </w:r>
      <w:r w:rsidR="00341898" w:rsidRPr="00DD08DD">
        <w:rPr>
          <w:rFonts w:cstheme="minorHAnsi"/>
        </w:rPr>
        <w:t xml:space="preserve"> to HRB orally or in writing (or both)</w:t>
      </w:r>
      <w:r w:rsidRPr="00DD08DD">
        <w:rPr>
          <w:rFonts w:cstheme="minorHAnsi"/>
        </w:rPr>
        <w:t xml:space="preserve"> </w:t>
      </w:r>
      <w:proofErr w:type="gramStart"/>
      <w:r w:rsidR="00341898" w:rsidRPr="00DD08DD">
        <w:rPr>
          <w:rFonts w:cstheme="minorHAnsi"/>
        </w:rPr>
        <w:t>or</w:t>
      </w:r>
      <w:proofErr w:type="gramEnd"/>
      <w:r w:rsidR="00341898" w:rsidRPr="00DD08DD">
        <w:rPr>
          <w:rFonts w:cstheme="minorHAnsi"/>
        </w:rPr>
        <w:t xml:space="preserve">, if a worker requests it, </w:t>
      </w:r>
      <w:r w:rsidR="00A62737" w:rsidRPr="00DD08DD">
        <w:rPr>
          <w:rFonts w:cstheme="minorHAnsi"/>
        </w:rPr>
        <w:t xml:space="preserve">HRB </w:t>
      </w:r>
      <w:r w:rsidR="00341898" w:rsidRPr="00DD08DD">
        <w:rPr>
          <w:rFonts w:cstheme="minorHAnsi"/>
        </w:rPr>
        <w:t xml:space="preserve">will facilitate a physical meeting with a designated person from HRB within a reasonable period from the making of the request. </w:t>
      </w:r>
      <w:r w:rsidR="005704F1" w:rsidRPr="00DD08DD">
        <w:rPr>
          <w:rFonts w:cstheme="minorHAnsi"/>
        </w:rPr>
        <w:t>Where a concern is raised orally</w:t>
      </w:r>
      <w:r w:rsidR="00382F87" w:rsidRPr="00DD08DD">
        <w:rPr>
          <w:rFonts w:cstheme="minorHAnsi"/>
        </w:rPr>
        <w:t>,</w:t>
      </w:r>
      <w:r w:rsidR="005704F1" w:rsidRPr="00DD08DD">
        <w:rPr>
          <w:rFonts w:cstheme="minorHAnsi"/>
        </w:rPr>
        <w:t xml:space="preserve"> the following steps are to be taken by the worker raising the concern to ensure that the concern raised is acknowledged by the recipient as received in the manner intended by the worker.  </w:t>
      </w:r>
    </w:p>
    <w:p w14:paraId="694281AA" w14:textId="19013203" w:rsidR="005704F1" w:rsidRPr="00DD08DD" w:rsidRDefault="005704F1" w:rsidP="00760253">
      <w:pPr>
        <w:spacing w:line="276" w:lineRule="auto"/>
        <w:rPr>
          <w:rFonts w:cstheme="minorHAnsi"/>
        </w:rPr>
      </w:pPr>
      <w:r w:rsidRPr="00DD08DD">
        <w:rPr>
          <w:rFonts w:cstheme="minorHAnsi"/>
        </w:rPr>
        <w:t xml:space="preserve">1. The worker raising the concern sends a written communication to the recipient. The written communication confirms: </w:t>
      </w:r>
    </w:p>
    <w:p w14:paraId="6EF21037" w14:textId="24FF6D51" w:rsidR="00806C13" w:rsidRPr="00DD08DD" w:rsidRDefault="005704F1" w:rsidP="00760253">
      <w:pPr>
        <w:pStyle w:val="ListParagraph"/>
        <w:numPr>
          <w:ilvl w:val="0"/>
          <w:numId w:val="35"/>
        </w:numPr>
        <w:spacing w:line="276" w:lineRule="auto"/>
        <w:rPr>
          <w:rFonts w:cstheme="minorHAnsi"/>
        </w:rPr>
      </w:pPr>
      <w:r w:rsidRPr="00DD08DD">
        <w:rPr>
          <w:rFonts w:asciiTheme="minorHAnsi" w:hAnsiTheme="minorHAnsi" w:cstheme="minorHAnsi"/>
          <w:sz w:val="22"/>
          <w:szCs w:val="22"/>
        </w:rPr>
        <w:t>the fact that a disclosure was made (details of the disclosure need not be included, just the fact that a disclosure has been made</w:t>
      </w:r>
      <w:proofErr w:type="gramStart"/>
      <w:r w:rsidRPr="00DD08DD">
        <w:rPr>
          <w:rFonts w:asciiTheme="minorHAnsi" w:hAnsiTheme="minorHAnsi" w:cstheme="minorHAnsi"/>
          <w:sz w:val="22"/>
          <w:szCs w:val="22"/>
        </w:rPr>
        <w:t>);</w:t>
      </w:r>
      <w:proofErr w:type="gramEnd"/>
      <w:r w:rsidRPr="00DD08DD">
        <w:rPr>
          <w:rFonts w:asciiTheme="minorHAnsi" w:hAnsiTheme="minorHAnsi" w:cstheme="minorHAnsi"/>
          <w:sz w:val="22"/>
          <w:szCs w:val="22"/>
        </w:rPr>
        <w:t xml:space="preserve"> </w:t>
      </w:r>
    </w:p>
    <w:p w14:paraId="2A11DE80" w14:textId="07215BB0" w:rsidR="005704F1" w:rsidRPr="00DD08DD" w:rsidRDefault="005704F1" w:rsidP="00760253">
      <w:pPr>
        <w:pStyle w:val="ListParagraph"/>
        <w:numPr>
          <w:ilvl w:val="0"/>
          <w:numId w:val="35"/>
        </w:numPr>
        <w:spacing w:line="276" w:lineRule="auto"/>
        <w:rPr>
          <w:rFonts w:cstheme="minorHAnsi"/>
        </w:rPr>
      </w:pPr>
      <w:r w:rsidRPr="00DD08DD">
        <w:rPr>
          <w:rFonts w:asciiTheme="minorHAnsi" w:hAnsiTheme="minorHAnsi" w:cstheme="minorHAnsi"/>
          <w:sz w:val="22"/>
          <w:szCs w:val="22"/>
        </w:rPr>
        <w:t xml:space="preserve">that a written acknowledgement from the recipient to the worker is required.   </w:t>
      </w:r>
    </w:p>
    <w:p w14:paraId="1A240CBD" w14:textId="77777777" w:rsidR="00806C13" w:rsidRPr="00DD08DD" w:rsidRDefault="00806C13" w:rsidP="00760253">
      <w:pPr>
        <w:pStyle w:val="ListParagraph"/>
        <w:spacing w:line="276" w:lineRule="auto"/>
        <w:rPr>
          <w:rFonts w:cstheme="minorHAnsi"/>
        </w:rPr>
      </w:pPr>
    </w:p>
    <w:p w14:paraId="0A919AC9" w14:textId="77777777" w:rsidR="005704F1" w:rsidRPr="00DD08DD" w:rsidRDefault="005704F1" w:rsidP="00760253">
      <w:pPr>
        <w:spacing w:line="276" w:lineRule="auto"/>
        <w:rPr>
          <w:rFonts w:cstheme="minorHAnsi"/>
        </w:rPr>
      </w:pPr>
      <w:r w:rsidRPr="00DD08DD">
        <w:rPr>
          <w:rFonts w:cstheme="minorHAnsi"/>
        </w:rPr>
        <w:t xml:space="preserve">2. The recipient responds with a written communication acknowledging receipt of the disclosure within five working days. </w:t>
      </w:r>
    </w:p>
    <w:p w14:paraId="001C3AE7" w14:textId="63690F36" w:rsidR="00341898" w:rsidRPr="00DD08DD" w:rsidRDefault="005704F1" w:rsidP="00760253">
      <w:pPr>
        <w:spacing w:line="276" w:lineRule="auto"/>
        <w:rPr>
          <w:rFonts w:cstheme="minorHAnsi"/>
        </w:rPr>
      </w:pPr>
      <w:r w:rsidRPr="00DD08DD">
        <w:rPr>
          <w:rFonts w:cstheme="minorHAnsi"/>
        </w:rPr>
        <w:t>For the purposes of passing the information received to those responsible for investigating the concerns, the recipient of the concern may record the worker</w:t>
      </w:r>
      <w:r w:rsidR="00EF47D8" w:rsidRPr="00DD08DD">
        <w:rPr>
          <w:rFonts w:cstheme="minorHAnsi"/>
        </w:rPr>
        <w:t>’</w:t>
      </w:r>
      <w:r w:rsidRPr="00DD08DD">
        <w:rPr>
          <w:rFonts w:cstheme="minorHAnsi"/>
        </w:rPr>
        <w:t>s concern</w:t>
      </w:r>
      <w:r w:rsidR="00EF47D8" w:rsidRPr="00DD08DD">
        <w:rPr>
          <w:rFonts w:cstheme="minorHAnsi"/>
        </w:rPr>
        <w:t>s</w:t>
      </w:r>
      <w:r w:rsidRPr="00DD08DD">
        <w:rPr>
          <w:rFonts w:cstheme="minorHAnsi"/>
        </w:rPr>
        <w:t xml:space="preserve"> in writing and should seek that the workers raising the concerns confirm that the details are accurately recorded</w:t>
      </w:r>
      <w:r w:rsidR="00382F87" w:rsidRPr="00DD08DD">
        <w:rPr>
          <w:rFonts w:cstheme="minorHAnsi"/>
        </w:rPr>
        <w:t>.</w:t>
      </w:r>
    </w:p>
    <w:p w14:paraId="560C668A" w14:textId="601CE4DB" w:rsidR="00341898" w:rsidRPr="00DD08DD" w:rsidRDefault="00382F87" w:rsidP="00760253">
      <w:pPr>
        <w:spacing w:line="276" w:lineRule="auto"/>
        <w:rPr>
          <w:rFonts w:cstheme="minorHAnsi"/>
        </w:rPr>
      </w:pPr>
      <w:r w:rsidRPr="00DD08DD">
        <w:rPr>
          <w:rFonts w:cstheme="minorHAnsi"/>
        </w:rPr>
        <w:t>If a</w:t>
      </w:r>
      <w:r w:rsidR="00341898" w:rsidRPr="00DD08DD">
        <w:rPr>
          <w:rFonts w:cstheme="minorHAnsi"/>
        </w:rPr>
        <w:t xml:space="preserve"> </w:t>
      </w:r>
      <w:r w:rsidR="005704F1" w:rsidRPr="00DD08DD">
        <w:rPr>
          <w:rFonts w:cstheme="minorHAnsi"/>
        </w:rPr>
        <w:t xml:space="preserve">worker </w:t>
      </w:r>
      <w:r w:rsidR="00341898" w:rsidRPr="00DD08DD">
        <w:rPr>
          <w:rFonts w:cstheme="minorHAnsi"/>
        </w:rPr>
        <w:t>wishes to make a written report, the guidelines for the information to be provided are as follows:</w:t>
      </w:r>
    </w:p>
    <w:p w14:paraId="45C377D8" w14:textId="03FAC349" w:rsidR="00806C13" w:rsidRPr="005352DB" w:rsidRDefault="00341898" w:rsidP="00760253">
      <w:pPr>
        <w:pStyle w:val="ListParagraph"/>
        <w:numPr>
          <w:ilvl w:val="0"/>
          <w:numId w:val="38"/>
        </w:numPr>
        <w:spacing w:line="276" w:lineRule="auto"/>
        <w:rPr>
          <w:rFonts w:cstheme="minorHAnsi"/>
        </w:rPr>
      </w:pPr>
      <w:r w:rsidRPr="005A148F">
        <w:rPr>
          <w:rFonts w:asciiTheme="minorHAnsi" w:hAnsiTheme="minorHAnsi" w:cstheme="minorHAnsi"/>
          <w:sz w:val="22"/>
          <w:szCs w:val="22"/>
        </w:rPr>
        <w:t>The background and history of the concern (providing relevant dates)</w:t>
      </w:r>
    </w:p>
    <w:p w14:paraId="16864142" w14:textId="660FA0BD" w:rsidR="00E32FC2" w:rsidRDefault="005352DB" w:rsidP="00760253">
      <w:pPr>
        <w:spacing w:line="276" w:lineRule="auto"/>
        <w:ind w:left="720"/>
      </w:pPr>
      <w:r w:rsidRPr="00DD08DD">
        <w:rPr>
          <w:rFonts w:cstheme="minorHAnsi"/>
        </w:rPr>
        <w:t xml:space="preserve">(b) </w:t>
      </w:r>
      <w:r w:rsidR="00341898" w:rsidRPr="00DD08DD">
        <w:rPr>
          <w:rFonts w:cstheme="minorHAnsi"/>
        </w:rPr>
        <w:t>The</w:t>
      </w:r>
      <w:r w:rsidR="005704F1" w:rsidRPr="00DD08DD">
        <w:rPr>
          <w:rFonts w:cstheme="minorHAnsi"/>
        </w:rPr>
        <w:t xml:space="preserve"> worker’s </w:t>
      </w:r>
      <w:r w:rsidR="00341898" w:rsidRPr="00DD08DD">
        <w:rPr>
          <w:rFonts w:cstheme="minorHAnsi"/>
        </w:rPr>
        <w:t>particular concern with the situation (providing a</w:t>
      </w:r>
      <w:r w:rsidR="00A62737" w:rsidRPr="00DD08DD">
        <w:rPr>
          <w:rFonts w:cstheme="minorHAnsi"/>
        </w:rPr>
        <w:t>s much information as possible)</w:t>
      </w:r>
    </w:p>
    <w:p w14:paraId="688CB304" w14:textId="53F95249" w:rsidR="0081122B" w:rsidRPr="00DD08DD" w:rsidRDefault="00E32FC2" w:rsidP="005704F1">
      <w:pPr>
        <w:pStyle w:val="Heading1"/>
        <w:numPr>
          <w:ilvl w:val="0"/>
          <w:numId w:val="14"/>
        </w:numPr>
        <w:rPr>
          <w:color w:val="2F5496" w:themeColor="accent1" w:themeShade="BF"/>
        </w:rPr>
      </w:pPr>
      <w:bookmarkStart w:id="17" w:name="_Toc120448336"/>
      <w:r w:rsidRPr="00DD08DD">
        <w:rPr>
          <w:color w:val="2F5496" w:themeColor="accent1" w:themeShade="BF"/>
        </w:rPr>
        <w:t>How the HRB will respond</w:t>
      </w:r>
      <w:bookmarkEnd w:id="17"/>
    </w:p>
    <w:p w14:paraId="7287D9E1" w14:textId="1DB4D994" w:rsidR="00080C89" w:rsidRPr="00FD7C57" w:rsidRDefault="003B03C2" w:rsidP="00760253">
      <w:pPr>
        <w:spacing w:after="120" w:line="276" w:lineRule="auto"/>
        <w:rPr>
          <w:rFonts w:cstheme="minorHAnsi"/>
        </w:rPr>
      </w:pPr>
      <w:r w:rsidRPr="00FD7C57">
        <w:rPr>
          <w:rFonts w:cstheme="minorHAnsi"/>
        </w:rPr>
        <w:t xml:space="preserve">Once </w:t>
      </w:r>
      <w:r w:rsidR="00600555">
        <w:rPr>
          <w:rFonts w:cstheme="minorHAnsi"/>
        </w:rPr>
        <w:t>the worker makes a report</w:t>
      </w:r>
      <w:r w:rsidRPr="00FD7C57">
        <w:rPr>
          <w:rFonts w:cstheme="minorHAnsi"/>
        </w:rPr>
        <w:t xml:space="preserve">, the </w:t>
      </w:r>
      <w:r w:rsidR="00CB6370">
        <w:rPr>
          <w:rFonts w:cstheme="minorHAnsi"/>
        </w:rPr>
        <w:t>HRB</w:t>
      </w:r>
      <w:r w:rsidRPr="00FD7C57">
        <w:rPr>
          <w:rFonts w:cstheme="minorHAnsi"/>
        </w:rPr>
        <w:t xml:space="preserve"> will </w:t>
      </w:r>
      <w:r w:rsidR="00600555" w:rsidRPr="00600555">
        <w:rPr>
          <w:rFonts w:cstheme="minorHAnsi"/>
        </w:rPr>
        <w:t>respond</w:t>
      </w:r>
      <w:r w:rsidRPr="00600555">
        <w:rPr>
          <w:rFonts w:cstheme="minorHAnsi"/>
        </w:rPr>
        <w:t xml:space="preserve"> </w:t>
      </w:r>
      <w:r w:rsidR="00600555">
        <w:rPr>
          <w:rFonts w:cstheme="minorHAnsi"/>
        </w:rPr>
        <w:t>in accordance with the Act.</w:t>
      </w:r>
      <w:r w:rsidRPr="00FD7C57">
        <w:rPr>
          <w:rFonts w:cstheme="minorHAnsi"/>
        </w:rPr>
        <w:t xml:space="preserve">  Receipt of </w:t>
      </w:r>
      <w:r w:rsidR="00EF47D8">
        <w:rPr>
          <w:rFonts w:cstheme="minorHAnsi"/>
        </w:rPr>
        <w:t xml:space="preserve">the worker’s </w:t>
      </w:r>
      <w:r w:rsidRPr="00FD7C57">
        <w:rPr>
          <w:rFonts w:cstheme="minorHAnsi"/>
        </w:rPr>
        <w:t>concern</w:t>
      </w:r>
      <w:r w:rsidR="00EF47D8">
        <w:rPr>
          <w:rFonts w:cstheme="minorHAnsi"/>
        </w:rPr>
        <w:t>s</w:t>
      </w:r>
      <w:r w:rsidRPr="00FD7C57">
        <w:rPr>
          <w:rFonts w:cstheme="minorHAnsi"/>
        </w:rPr>
        <w:t xml:space="preserve"> will be acknowledged in writing within seven days of receipt. </w:t>
      </w:r>
      <w:r w:rsidR="00C338EE">
        <w:rPr>
          <w:rFonts w:cstheme="minorHAnsi"/>
        </w:rPr>
        <w:t xml:space="preserve">The Head of Governance will </w:t>
      </w:r>
      <w:r w:rsidRPr="00FD7C57">
        <w:rPr>
          <w:rFonts w:cstheme="minorHAnsi"/>
        </w:rPr>
        <w:t>follow</w:t>
      </w:r>
      <w:r w:rsidR="00C338EE">
        <w:rPr>
          <w:rFonts w:cstheme="minorHAnsi"/>
        </w:rPr>
        <w:t xml:space="preserve"> on such report (</w:t>
      </w:r>
      <w:r w:rsidRPr="00FD7C57">
        <w:rPr>
          <w:rFonts w:cstheme="minorHAnsi"/>
        </w:rPr>
        <w:t>that is, to assess the accuracy of the informat</w:t>
      </w:r>
      <w:r w:rsidRPr="00041FF2">
        <w:rPr>
          <w:rFonts w:cstheme="minorHAnsi"/>
        </w:rPr>
        <w:t xml:space="preserve">ion contained within it and, where relevant, to address the relevant wrongdoing reported, including, for instance, by way of internal investigation) and will maintain communication with the </w:t>
      </w:r>
      <w:r w:rsidR="00600555">
        <w:rPr>
          <w:rFonts w:cstheme="minorHAnsi"/>
        </w:rPr>
        <w:t>w</w:t>
      </w:r>
      <w:r w:rsidR="005352DB">
        <w:rPr>
          <w:rFonts w:cstheme="minorHAnsi"/>
        </w:rPr>
        <w:t>orker</w:t>
      </w:r>
      <w:r w:rsidRPr="00041FF2">
        <w:rPr>
          <w:rFonts w:cstheme="minorHAnsi"/>
        </w:rPr>
        <w:t xml:space="preserve"> and may request further information</w:t>
      </w:r>
      <w:r w:rsidRPr="00FD7C57">
        <w:rPr>
          <w:rFonts w:cstheme="minorHAnsi"/>
        </w:rPr>
        <w:t xml:space="preserve">, and will provide feedback to the </w:t>
      </w:r>
      <w:r w:rsidR="004A6EA0">
        <w:rPr>
          <w:rFonts w:cstheme="minorHAnsi"/>
        </w:rPr>
        <w:t>worker</w:t>
      </w:r>
      <w:r w:rsidRPr="00FD7C57">
        <w:rPr>
          <w:rFonts w:cstheme="minorHAnsi"/>
        </w:rPr>
        <w:t>.</w:t>
      </w:r>
      <w:r w:rsidR="00F25A79">
        <w:rPr>
          <w:rFonts w:cstheme="minorHAnsi"/>
        </w:rPr>
        <w:t xml:space="preserve"> </w:t>
      </w:r>
      <w:r w:rsidRPr="00FD7C57">
        <w:rPr>
          <w:rFonts w:cstheme="minorHAnsi"/>
        </w:rPr>
        <w:t xml:space="preserve">The process shall include the following: </w:t>
      </w:r>
    </w:p>
    <w:p w14:paraId="1199B124" w14:textId="3A5B9A1B" w:rsidR="00080C89" w:rsidRDefault="00080C89" w:rsidP="00760253">
      <w:pPr>
        <w:pStyle w:val="ListParagraph"/>
        <w:numPr>
          <w:ilvl w:val="0"/>
          <w:numId w:val="24"/>
        </w:numPr>
        <w:spacing w:after="120" w:line="276" w:lineRule="auto"/>
        <w:ind w:left="360"/>
        <w:rPr>
          <w:rFonts w:asciiTheme="minorHAnsi" w:hAnsiTheme="minorHAnsi" w:cstheme="minorHAnsi"/>
          <w:sz w:val="22"/>
          <w:szCs w:val="22"/>
        </w:rPr>
      </w:pPr>
      <w:r w:rsidRPr="00E11BC1">
        <w:rPr>
          <w:rFonts w:asciiTheme="minorHAnsi" w:hAnsiTheme="minorHAnsi" w:cstheme="minorHAnsi"/>
          <w:sz w:val="22"/>
          <w:szCs w:val="22"/>
        </w:rPr>
        <w:lastRenderedPageBreak/>
        <w:t xml:space="preserve">The carrying out of an initial assessment of whether there is prima facie evidence of relevant wrongdoing. Where there is no such evidence, the procedure will be closed (or the matter will be referred to an alternative, appropriate procedure) and the worker will be notified in writing as soon as practicable of this decision and the reasons for </w:t>
      </w:r>
      <w:proofErr w:type="gramStart"/>
      <w:r w:rsidRPr="00E11BC1">
        <w:rPr>
          <w:rFonts w:asciiTheme="minorHAnsi" w:hAnsiTheme="minorHAnsi" w:cstheme="minorHAnsi"/>
          <w:sz w:val="22"/>
          <w:szCs w:val="22"/>
        </w:rPr>
        <w:t>it;</w:t>
      </w:r>
      <w:proofErr w:type="gramEnd"/>
      <w:r w:rsidRPr="00E11BC1">
        <w:rPr>
          <w:rFonts w:asciiTheme="minorHAnsi" w:hAnsiTheme="minorHAnsi" w:cstheme="minorHAnsi"/>
          <w:sz w:val="22"/>
          <w:szCs w:val="22"/>
        </w:rPr>
        <w:t xml:space="preserve"> </w:t>
      </w:r>
    </w:p>
    <w:p w14:paraId="6733C164" w14:textId="77777777" w:rsidR="00DD08DD" w:rsidRPr="00E11BC1" w:rsidRDefault="00DD08DD" w:rsidP="00760253">
      <w:pPr>
        <w:pStyle w:val="ListParagraph"/>
        <w:spacing w:after="120" w:line="276" w:lineRule="auto"/>
        <w:ind w:left="360"/>
        <w:rPr>
          <w:rFonts w:asciiTheme="minorHAnsi" w:hAnsiTheme="minorHAnsi" w:cstheme="minorHAnsi"/>
          <w:sz w:val="22"/>
          <w:szCs w:val="22"/>
        </w:rPr>
      </w:pPr>
    </w:p>
    <w:p w14:paraId="3856AB3C" w14:textId="478F1363" w:rsidR="00080C89" w:rsidRPr="00DD08DD" w:rsidRDefault="00080C89" w:rsidP="00760253">
      <w:pPr>
        <w:pStyle w:val="ListParagraph"/>
        <w:numPr>
          <w:ilvl w:val="0"/>
          <w:numId w:val="24"/>
        </w:numPr>
        <w:spacing w:after="120" w:line="276" w:lineRule="auto"/>
        <w:ind w:left="360"/>
        <w:rPr>
          <w:rFonts w:cstheme="minorHAnsi"/>
        </w:rPr>
      </w:pPr>
      <w:r w:rsidRPr="00E11BC1">
        <w:rPr>
          <w:rFonts w:asciiTheme="minorHAnsi" w:hAnsiTheme="minorHAnsi" w:cstheme="minorHAnsi"/>
          <w:sz w:val="22"/>
          <w:szCs w:val="22"/>
        </w:rPr>
        <w:t xml:space="preserve">The taking of appropriate action to address the relevant wrongdoing, having regard to the nature and seriousness of the matter </w:t>
      </w:r>
      <w:proofErr w:type="gramStart"/>
      <w:r w:rsidRPr="00E11BC1">
        <w:rPr>
          <w:rFonts w:asciiTheme="minorHAnsi" w:hAnsiTheme="minorHAnsi" w:cstheme="minorHAnsi"/>
          <w:sz w:val="22"/>
          <w:szCs w:val="22"/>
        </w:rPr>
        <w:t>concerned;</w:t>
      </w:r>
      <w:proofErr w:type="gramEnd"/>
      <w:r w:rsidRPr="00E11BC1">
        <w:rPr>
          <w:rFonts w:asciiTheme="minorHAnsi" w:hAnsiTheme="minorHAnsi" w:cstheme="minorHAnsi"/>
          <w:sz w:val="22"/>
          <w:szCs w:val="22"/>
        </w:rPr>
        <w:t xml:space="preserve"> </w:t>
      </w:r>
    </w:p>
    <w:p w14:paraId="0CF315A0" w14:textId="77777777" w:rsidR="00DD08DD" w:rsidRPr="00DD08DD" w:rsidRDefault="00DD08DD" w:rsidP="00760253">
      <w:pPr>
        <w:pStyle w:val="ListParagraph"/>
        <w:spacing w:line="276" w:lineRule="auto"/>
        <w:rPr>
          <w:rFonts w:cstheme="minorHAnsi"/>
        </w:rPr>
      </w:pPr>
    </w:p>
    <w:p w14:paraId="79390345" w14:textId="20970D1A" w:rsidR="00080C89" w:rsidRPr="00E11BC1" w:rsidRDefault="00DD08DD" w:rsidP="00760253">
      <w:pPr>
        <w:pStyle w:val="ListParagraph"/>
        <w:numPr>
          <w:ilvl w:val="0"/>
          <w:numId w:val="24"/>
        </w:numPr>
        <w:spacing w:after="120" w:line="276" w:lineRule="auto"/>
        <w:ind w:left="360"/>
        <w:rPr>
          <w:rFonts w:asciiTheme="minorHAnsi" w:hAnsiTheme="minorHAnsi" w:cstheme="minorHAnsi"/>
          <w:sz w:val="22"/>
          <w:szCs w:val="22"/>
        </w:rPr>
      </w:pPr>
      <w:r>
        <w:rPr>
          <w:rFonts w:asciiTheme="minorHAnsi" w:hAnsiTheme="minorHAnsi" w:cstheme="minorHAnsi"/>
          <w:sz w:val="22"/>
          <w:szCs w:val="22"/>
        </w:rPr>
        <w:t>T</w:t>
      </w:r>
      <w:r w:rsidR="00080C89" w:rsidRPr="00E11BC1">
        <w:rPr>
          <w:rFonts w:asciiTheme="minorHAnsi" w:hAnsiTheme="minorHAnsi" w:cstheme="minorHAnsi"/>
          <w:sz w:val="22"/>
          <w:szCs w:val="22"/>
        </w:rPr>
        <w:t>he provision of feedback to the worker within a reasonable period, being not more than three months from the date of acknowledgement of receipt of the complaint report. ‘Feedback’ means the provision to a worker of information on the action envisaged or taken as a follow-up and the reasons for same; and</w:t>
      </w:r>
    </w:p>
    <w:p w14:paraId="53CA92C9" w14:textId="77777777" w:rsidR="00080C89" w:rsidRPr="00E11BC1" w:rsidRDefault="00080C89" w:rsidP="00760253">
      <w:pPr>
        <w:pStyle w:val="ListParagraph"/>
        <w:spacing w:after="120" w:line="276" w:lineRule="auto"/>
        <w:jc w:val="both"/>
        <w:rPr>
          <w:rFonts w:asciiTheme="minorHAnsi" w:hAnsiTheme="minorHAnsi" w:cstheme="minorHAnsi"/>
          <w:sz w:val="22"/>
          <w:szCs w:val="22"/>
        </w:rPr>
      </w:pPr>
    </w:p>
    <w:p w14:paraId="10CADE6D" w14:textId="77777777" w:rsidR="00DD08DD" w:rsidRPr="00E11BC1" w:rsidRDefault="00080C89" w:rsidP="00760253">
      <w:pPr>
        <w:pStyle w:val="ListParagraph"/>
        <w:numPr>
          <w:ilvl w:val="0"/>
          <w:numId w:val="24"/>
        </w:numPr>
        <w:spacing w:after="120" w:line="276" w:lineRule="auto"/>
        <w:ind w:left="357" w:hanging="357"/>
        <w:rPr>
          <w:rFonts w:asciiTheme="minorHAnsi" w:hAnsiTheme="minorHAnsi" w:cstheme="minorHAnsi"/>
          <w:sz w:val="22"/>
          <w:szCs w:val="22"/>
        </w:rPr>
      </w:pPr>
      <w:r w:rsidRPr="00DD08DD">
        <w:rPr>
          <w:rFonts w:asciiTheme="minorHAnsi" w:hAnsiTheme="minorHAnsi" w:cstheme="minorHAnsi"/>
          <w:sz w:val="22"/>
          <w:szCs w:val="22"/>
        </w:rPr>
        <w:t>Where a worker requests in writing, the provision of further feedback (beyond that referre</w:t>
      </w:r>
      <w:r w:rsidR="00041FF2" w:rsidRPr="00DD08DD">
        <w:rPr>
          <w:rFonts w:asciiTheme="minorHAnsi" w:hAnsiTheme="minorHAnsi" w:cstheme="minorHAnsi"/>
          <w:sz w:val="22"/>
          <w:szCs w:val="22"/>
        </w:rPr>
        <w:t xml:space="preserve">d to </w:t>
      </w:r>
      <w:r w:rsidR="00341898" w:rsidRPr="00DD08DD">
        <w:rPr>
          <w:rFonts w:asciiTheme="minorHAnsi" w:hAnsiTheme="minorHAnsi" w:cstheme="minorHAnsi"/>
          <w:sz w:val="22"/>
          <w:szCs w:val="22"/>
        </w:rPr>
        <w:t xml:space="preserve">in the point </w:t>
      </w:r>
      <w:r w:rsidR="00041FF2" w:rsidRPr="00DD08DD">
        <w:rPr>
          <w:rFonts w:asciiTheme="minorHAnsi" w:hAnsiTheme="minorHAnsi" w:cstheme="minorHAnsi"/>
          <w:sz w:val="22"/>
          <w:szCs w:val="22"/>
        </w:rPr>
        <w:t>above</w:t>
      </w:r>
      <w:r w:rsidR="00341898" w:rsidRPr="00DD08DD">
        <w:rPr>
          <w:rFonts w:asciiTheme="minorHAnsi" w:hAnsiTheme="minorHAnsi" w:cstheme="minorHAnsi"/>
          <w:sz w:val="22"/>
          <w:szCs w:val="22"/>
        </w:rPr>
        <w:t>)</w:t>
      </w:r>
      <w:r w:rsidRPr="00DD08DD">
        <w:rPr>
          <w:rFonts w:asciiTheme="minorHAnsi" w:hAnsiTheme="minorHAnsi" w:cstheme="minorHAnsi"/>
          <w:sz w:val="22"/>
          <w:szCs w:val="22"/>
        </w:rPr>
        <w:t xml:space="preserve"> at intervals of three months until such time as the procedure is closed.</w:t>
      </w:r>
    </w:p>
    <w:p w14:paraId="2CBD1097" w14:textId="51C3BB10" w:rsidR="00A62737" w:rsidRPr="00DD08DD" w:rsidRDefault="00A62737" w:rsidP="00760253">
      <w:pPr>
        <w:pStyle w:val="ListParagraph"/>
        <w:spacing w:after="120" w:line="276" w:lineRule="auto"/>
        <w:ind w:left="1800"/>
        <w:rPr>
          <w:rFonts w:asciiTheme="minorHAnsi" w:hAnsiTheme="minorHAnsi" w:cstheme="minorHAnsi"/>
          <w:sz w:val="22"/>
          <w:szCs w:val="22"/>
        </w:rPr>
      </w:pPr>
    </w:p>
    <w:p w14:paraId="396FEB91" w14:textId="59F739A2" w:rsidR="00080C89" w:rsidRPr="00E11BC1" w:rsidRDefault="00A62737" w:rsidP="00760253">
      <w:pPr>
        <w:spacing w:after="120" w:line="276" w:lineRule="auto"/>
        <w:jc w:val="both"/>
        <w:rPr>
          <w:rFonts w:cstheme="minorHAnsi"/>
        </w:rPr>
      </w:pPr>
      <w:r>
        <w:rPr>
          <w:rFonts w:cstheme="minorHAnsi"/>
        </w:rPr>
        <w:t xml:space="preserve">The worker </w:t>
      </w:r>
      <w:r w:rsidRPr="00A62737">
        <w:rPr>
          <w:rFonts w:cstheme="minorHAnsi"/>
        </w:rPr>
        <w:t xml:space="preserve">may be required to attend additional meetings in order to provide further information.  </w:t>
      </w:r>
    </w:p>
    <w:p w14:paraId="20B24361" w14:textId="77777777" w:rsidR="001E266C" w:rsidRPr="001E266C" w:rsidRDefault="001E266C" w:rsidP="0081122B">
      <w:pPr>
        <w:jc w:val="both"/>
        <w:rPr>
          <w:rFonts w:cstheme="minorHAnsi"/>
        </w:rPr>
      </w:pPr>
    </w:p>
    <w:p w14:paraId="4E98289C" w14:textId="48E43641" w:rsidR="0081122B" w:rsidRPr="00DD08DD" w:rsidRDefault="00625AF1" w:rsidP="005B0E9F">
      <w:pPr>
        <w:pStyle w:val="Heading1"/>
        <w:numPr>
          <w:ilvl w:val="0"/>
          <w:numId w:val="14"/>
        </w:numPr>
        <w:spacing w:after="60" w:line="276" w:lineRule="auto"/>
        <w:rPr>
          <w:color w:val="2F5496" w:themeColor="accent1" w:themeShade="BF"/>
        </w:rPr>
      </w:pPr>
      <w:bookmarkStart w:id="18" w:name="_Toc120448337"/>
      <w:r w:rsidRPr="00DD08DD">
        <w:rPr>
          <w:color w:val="2F5496" w:themeColor="accent1" w:themeShade="BF"/>
        </w:rPr>
        <w:t>EXternal DIsclosure</w:t>
      </w:r>
      <w:bookmarkEnd w:id="18"/>
    </w:p>
    <w:p w14:paraId="66A2A2B5" w14:textId="1871FBAC" w:rsidR="00AA0970" w:rsidRDefault="00AA0970" w:rsidP="00DD08DD">
      <w:pPr>
        <w:spacing w:after="120" w:line="276" w:lineRule="auto"/>
        <w:rPr>
          <w:rFonts w:cstheme="minorHAnsi"/>
        </w:rPr>
      </w:pPr>
      <w:r w:rsidRPr="00AA0970">
        <w:rPr>
          <w:rFonts w:cstheme="minorHAnsi"/>
        </w:rPr>
        <w:t xml:space="preserve">It is the </w:t>
      </w:r>
      <w:r w:rsidR="00CB6370">
        <w:rPr>
          <w:rFonts w:cstheme="minorHAnsi"/>
        </w:rPr>
        <w:t>HRB’</w:t>
      </w:r>
      <w:r w:rsidRPr="00AA0970">
        <w:rPr>
          <w:rFonts w:cstheme="minorHAnsi"/>
        </w:rPr>
        <w:t>s intention that workers will not find it necessary to raise issues externally. It is hoped that workers will in the first instance utilise the reporting options set out in this Policy so that the</w:t>
      </w:r>
      <w:r w:rsidR="00CB6370">
        <w:rPr>
          <w:rFonts w:cstheme="minorHAnsi"/>
        </w:rPr>
        <w:t xml:space="preserve"> HRB</w:t>
      </w:r>
      <w:r w:rsidRPr="00AA0970">
        <w:rPr>
          <w:rFonts w:cstheme="minorHAnsi"/>
        </w:rPr>
        <w:t xml:space="preserve"> can investigate and remedy such concerns in line with this Policy.  However, the </w:t>
      </w:r>
      <w:r w:rsidR="00CD6648">
        <w:rPr>
          <w:rFonts w:cstheme="minorHAnsi"/>
        </w:rPr>
        <w:t>Act recognis</w:t>
      </w:r>
      <w:r w:rsidRPr="00AA0970">
        <w:rPr>
          <w:rFonts w:cstheme="minorHAnsi"/>
        </w:rPr>
        <w:t xml:space="preserve">es that in certain circumstances workers may </w:t>
      </w:r>
      <w:r w:rsidR="00CD6648">
        <w:rPr>
          <w:rFonts w:cstheme="minorHAnsi"/>
        </w:rPr>
        <w:t>wish to</w:t>
      </w:r>
      <w:r w:rsidRPr="00AA0970">
        <w:rPr>
          <w:rFonts w:cstheme="minorHAnsi"/>
        </w:rPr>
        <w:t xml:space="preserve"> raise a concern externally to a </w:t>
      </w:r>
      <w:r w:rsidRPr="002E5F76">
        <w:rPr>
          <w:rFonts w:cstheme="minorHAnsi"/>
        </w:rPr>
        <w:t>Prescribed Person</w:t>
      </w:r>
      <w:r w:rsidRPr="00AA0970">
        <w:rPr>
          <w:rFonts w:cstheme="minorHAnsi"/>
        </w:rPr>
        <w:t>, the Protected Disclosures Commissioner,</w:t>
      </w:r>
      <w:r w:rsidR="003C2187">
        <w:rPr>
          <w:rFonts w:cstheme="minorHAnsi"/>
        </w:rPr>
        <w:t xml:space="preserve"> legal advisors</w:t>
      </w:r>
      <w:r w:rsidRPr="00AA0970">
        <w:rPr>
          <w:rFonts w:cstheme="minorHAnsi"/>
        </w:rPr>
        <w:t xml:space="preserve"> or in very limited circumstances, to </w:t>
      </w:r>
      <w:r w:rsidRPr="00341898">
        <w:rPr>
          <w:rFonts w:cstheme="minorHAnsi"/>
        </w:rPr>
        <w:t>other persons.</w:t>
      </w:r>
    </w:p>
    <w:p w14:paraId="4AAFABDC" w14:textId="77777777" w:rsidR="00AA0970" w:rsidRPr="00DC6F54" w:rsidRDefault="00AA0970" w:rsidP="00DD08DD">
      <w:pPr>
        <w:spacing w:after="120" w:line="276" w:lineRule="auto"/>
        <w:rPr>
          <w:rFonts w:cstheme="minorHAnsi"/>
          <w:u w:val="single"/>
        </w:rPr>
      </w:pPr>
      <w:r w:rsidRPr="00DC6F54">
        <w:rPr>
          <w:rFonts w:cstheme="minorHAnsi"/>
          <w:u w:val="single"/>
        </w:rPr>
        <w:t>Prescribed Persons</w:t>
      </w:r>
    </w:p>
    <w:p w14:paraId="5060E3DF" w14:textId="6EFAFCB0" w:rsidR="00AA0970" w:rsidRPr="00AA0970" w:rsidRDefault="00AA0970" w:rsidP="00DD08DD">
      <w:pPr>
        <w:spacing w:after="120" w:line="276" w:lineRule="auto"/>
        <w:rPr>
          <w:rFonts w:cstheme="minorHAnsi"/>
        </w:rPr>
      </w:pPr>
      <w:r w:rsidRPr="00AA0970">
        <w:rPr>
          <w:rFonts w:cstheme="minorHAnsi"/>
        </w:rPr>
        <w:t xml:space="preserve">The </w:t>
      </w:r>
      <w:r w:rsidR="00CD6648">
        <w:rPr>
          <w:rFonts w:cstheme="minorHAnsi"/>
        </w:rPr>
        <w:t>Act</w:t>
      </w:r>
      <w:r w:rsidRPr="00AA0970">
        <w:rPr>
          <w:rFonts w:cstheme="minorHAnsi"/>
        </w:rPr>
        <w:t xml:space="preserve"> provides for external reporting of relevant wrongdoing to a ‘</w:t>
      </w:r>
      <w:r w:rsidRPr="00C84EAB">
        <w:rPr>
          <w:rFonts w:cstheme="minorHAnsi"/>
        </w:rPr>
        <w:t>Prescribed Person’</w:t>
      </w:r>
      <w:r w:rsidRPr="00AA0970">
        <w:rPr>
          <w:rFonts w:cstheme="minorHAnsi"/>
        </w:rPr>
        <w:t xml:space="preserve">, namely an authority with a regulatory function in the area the subject of the allegations. A disclosure should only be made to a Prescribed Person in circumstances where a </w:t>
      </w:r>
      <w:r w:rsidR="002946E4">
        <w:rPr>
          <w:rFonts w:cstheme="minorHAnsi"/>
        </w:rPr>
        <w:t>worker</w:t>
      </w:r>
      <w:r w:rsidRPr="00AA0970">
        <w:rPr>
          <w:rFonts w:cstheme="minorHAnsi"/>
        </w:rPr>
        <w:t xml:space="preserve"> reasonably believes:</w:t>
      </w:r>
    </w:p>
    <w:p w14:paraId="3012D0C2" w14:textId="77777777" w:rsidR="00AA0970" w:rsidRPr="00AA0970" w:rsidRDefault="00AA0970" w:rsidP="00DD08DD">
      <w:pPr>
        <w:numPr>
          <w:ilvl w:val="0"/>
          <w:numId w:val="31"/>
        </w:numPr>
        <w:spacing w:after="120" w:line="276" w:lineRule="auto"/>
        <w:rPr>
          <w:rFonts w:cstheme="minorHAnsi"/>
        </w:rPr>
      </w:pPr>
      <w:r w:rsidRPr="00AA0970">
        <w:rPr>
          <w:rFonts w:cstheme="minorHAnsi"/>
        </w:rPr>
        <w:t>That the relevant wrong is within the remit of the ‘Prescribed Person’; and</w:t>
      </w:r>
    </w:p>
    <w:p w14:paraId="5CDF67C9" w14:textId="33B0A930" w:rsidR="00AA0970" w:rsidRPr="00AA0970" w:rsidRDefault="00AA0970" w:rsidP="00DD08DD">
      <w:pPr>
        <w:numPr>
          <w:ilvl w:val="0"/>
          <w:numId w:val="31"/>
        </w:numPr>
        <w:spacing w:after="120" w:line="276" w:lineRule="auto"/>
        <w:rPr>
          <w:rFonts w:cstheme="minorHAnsi"/>
        </w:rPr>
      </w:pPr>
      <w:r w:rsidRPr="00AA0970">
        <w:rPr>
          <w:rFonts w:cstheme="minorHAnsi"/>
        </w:rPr>
        <w:t xml:space="preserve">That the information disclosed and any inherent allegation is </w:t>
      </w:r>
      <w:r w:rsidR="00382F87">
        <w:rPr>
          <w:rFonts w:cstheme="minorHAnsi"/>
        </w:rPr>
        <w:t>“</w:t>
      </w:r>
      <w:r w:rsidRPr="00AA0970">
        <w:rPr>
          <w:rFonts w:cstheme="minorHAnsi"/>
        </w:rPr>
        <w:t>substantially true</w:t>
      </w:r>
      <w:r w:rsidR="00382F87">
        <w:rPr>
          <w:rFonts w:cstheme="minorHAnsi"/>
        </w:rPr>
        <w:t>”</w:t>
      </w:r>
      <w:r w:rsidRPr="00AA0970">
        <w:rPr>
          <w:rFonts w:cstheme="minorHAnsi"/>
        </w:rPr>
        <w:t xml:space="preserve">. </w:t>
      </w:r>
    </w:p>
    <w:p w14:paraId="019D6489" w14:textId="17A2C548" w:rsidR="00AA0970" w:rsidRPr="00AA0970" w:rsidRDefault="00AA0970" w:rsidP="00DD08DD">
      <w:pPr>
        <w:spacing w:after="120" w:line="276" w:lineRule="auto"/>
        <w:rPr>
          <w:rFonts w:cstheme="minorHAnsi"/>
        </w:rPr>
      </w:pPr>
      <w:r w:rsidRPr="00AA0970">
        <w:rPr>
          <w:rFonts w:cstheme="minorHAnsi"/>
        </w:rPr>
        <w:t>Details of what constitutes a Prescribed Person can be found in the Protected Disclosures Act 2014 (Disclosure to Prescribed Persons) Order 2020 (SI No. 367/2020).</w:t>
      </w:r>
    </w:p>
    <w:p w14:paraId="708A0FFA" w14:textId="0C487C6E" w:rsidR="00E32FC2" w:rsidRPr="005A148F" w:rsidRDefault="00E32FC2" w:rsidP="00DD08DD">
      <w:pPr>
        <w:spacing w:after="120" w:line="276" w:lineRule="auto"/>
        <w:rPr>
          <w:rFonts w:cstheme="minorHAnsi"/>
          <w:u w:val="single"/>
        </w:rPr>
      </w:pPr>
      <w:r w:rsidRPr="005A148F">
        <w:rPr>
          <w:rFonts w:cstheme="minorHAnsi"/>
          <w:u w:val="single"/>
        </w:rPr>
        <w:t xml:space="preserve">Office of the Protected Disclosures Commissioner </w:t>
      </w:r>
    </w:p>
    <w:p w14:paraId="0E269F6F" w14:textId="47970624" w:rsidR="00AA0970" w:rsidRDefault="00AA0970" w:rsidP="00DD08DD">
      <w:pPr>
        <w:spacing w:after="120" w:line="276" w:lineRule="auto"/>
        <w:rPr>
          <w:rFonts w:cstheme="minorHAnsi"/>
        </w:rPr>
      </w:pPr>
      <w:r w:rsidRPr="00AA0970">
        <w:rPr>
          <w:rFonts w:cstheme="minorHAnsi"/>
        </w:rPr>
        <w:t xml:space="preserve">The </w:t>
      </w:r>
      <w:r w:rsidR="00CD6648">
        <w:rPr>
          <w:rFonts w:cstheme="minorHAnsi"/>
        </w:rPr>
        <w:t>Act</w:t>
      </w:r>
      <w:r w:rsidRPr="00AA0970">
        <w:rPr>
          <w:rFonts w:cstheme="minorHAnsi"/>
        </w:rPr>
        <w:t xml:space="preserve"> also introduced a new Office of the Protected Disclosures </w:t>
      </w:r>
      <w:r w:rsidRPr="00C84EAB">
        <w:rPr>
          <w:rFonts w:cstheme="minorHAnsi"/>
        </w:rPr>
        <w:t>Commissioner</w:t>
      </w:r>
      <w:r w:rsidR="003C2187">
        <w:rPr>
          <w:rFonts w:cstheme="minorHAnsi"/>
        </w:rPr>
        <w:t xml:space="preserve"> (the </w:t>
      </w:r>
      <w:r w:rsidR="00972682">
        <w:rPr>
          <w:rFonts w:cstheme="minorHAnsi"/>
        </w:rPr>
        <w:t>“</w:t>
      </w:r>
      <w:r w:rsidR="003C2187">
        <w:rPr>
          <w:rFonts w:cstheme="minorHAnsi"/>
        </w:rPr>
        <w:t>Commissioner</w:t>
      </w:r>
      <w:r w:rsidR="00972682">
        <w:rPr>
          <w:rFonts w:cstheme="minorHAnsi"/>
        </w:rPr>
        <w:t>”</w:t>
      </w:r>
      <w:r w:rsidR="003C2187">
        <w:rPr>
          <w:rFonts w:cstheme="minorHAnsi"/>
        </w:rPr>
        <w:t>)</w:t>
      </w:r>
      <w:r w:rsidRPr="00AA0970">
        <w:rPr>
          <w:rFonts w:cstheme="minorHAnsi"/>
        </w:rPr>
        <w:t xml:space="preserve">, which will support the operation of the new legislation. Once the </w:t>
      </w:r>
      <w:r w:rsidR="00CD6648">
        <w:rPr>
          <w:rFonts w:cstheme="minorHAnsi"/>
        </w:rPr>
        <w:t>Act</w:t>
      </w:r>
      <w:r w:rsidRPr="00AA0970">
        <w:rPr>
          <w:rFonts w:cstheme="minorHAnsi"/>
        </w:rPr>
        <w:t xml:space="preserve"> is enacted, the Commissioner will be responsible for directing protected disclosures to the most appropriate body when it is unclear which body is responsible. This will ensure that all protected disclosures will be dealt with appropriately. The Commissioner will also take on responsibility for transmitting all </w:t>
      </w:r>
      <w:r w:rsidRPr="00AA0970">
        <w:rPr>
          <w:rFonts w:cstheme="minorHAnsi"/>
        </w:rPr>
        <w:lastRenderedPageBreak/>
        <w:t>protected disclosures sent to Ministers of the Government to the most appropriate authority for assessment and thorough follow up.</w:t>
      </w:r>
    </w:p>
    <w:p w14:paraId="2B598E52" w14:textId="6E4B799E" w:rsidR="003C2187" w:rsidRPr="005A148F" w:rsidRDefault="003C2187" w:rsidP="00DD08DD">
      <w:pPr>
        <w:spacing w:after="120" w:line="276" w:lineRule="auto"/>
        <w:rPr>
          <w:rFonts w:cstheme="minorHAnsi"/>
          <w:u w:val="single"/>
        </w:rPr>
      </w:pPr>
      <w:r w:rsidRPr="005A148F">
        <w:rPr>
          <w:rFonts w:cstheme="minorHAnsi"/>
          <w:u w:val="single"/>
        </w:rPr>
        <w:t>Relevant Minister</w:t>
      </w:r>
    </w:p>
    <w:p w14:paraId="4C44129E" w14:textId="3CD74043" w:rsidR="003C2187" w:rsidRPr="003C2187" w:rsidRDefault="003C2187" w:rsidP="00DD08DD">
      <w:pPr>
        <w:spacing w:after="120" w:line="276" w:lineRule="auto"/>
        <w:rPr>
          <w:rFonts w:cstheme="minorHAnsi"/>
          <w:lang w:val="en-GB"/>
        </w:rPr>
      </w:pPr>
      <w:r w:rsidRPr="003C2187">
        <w:rPr>
          <w:rFonts w:cstheme="minorHAnsi"/>
          <w:lang w:val="en-GB"/>
        </w:rPr>
        <w:t xml:space="preserve">The Act now provides </w:t>
      </w:r>
      <w:r w:rsidR="00382F87">
        <w:rPr>
          <w:rFonts w:cstheme="minorHAnsi"/>
          <w:lang w:val="en-GB"/>
        </w:rPr>
        <w:t xml:space="preserve">that </w:t>
      </w:r>
      <w:r w:rsidRPr="003C2187">
        <w:rPr>
          <w:rFonts w:cstheme="minorHAnsi"/>
          <w:lang w:val="en-GB"/>
        </w:rPr>
        <w:t xml:space="preserve">a worker may </w:t>
      </w:r>
      <w:r>
        <w:rPr>
          <w:rFonts w:cstheme="minorHAnsi"/>
          <w:lang w:val="en-GB"/>
        </w:rPr>
        <w:t>make a report to a “Relevant Minister”,</w:t>
      </w:r>
      <w:r w:rsidRPr="003C2187">
        <w:rPr>
          <w:rFonts w:cstheme="minorHAnsi"/>
          <w:lang w:val="en-GB"/>
        </w:rPr>
        <w:t xml:space="preserve"> if the worker is or was employed by HRB and one or more than one of the following conditions are met:</w:t>
      </w:r>
    </w:p>
    <w:p w14:paraId="6A8B1C40" w14:textId="77777777" w:rsidR="003C2187" w:rsidRPr="003C2187" w:rsidRDefault="003C2187" w:rsidP="00DD08DD">
      <w:pPr>
        <w:spacing w:after="120" w:line="276" w:lineRule="auto"/>
        <w:ind w:left="720" w:hanging="720"/>
        <w:rPr>
          <w:rFonts w:cstheme="minorHAnsi"/>
          <w:lang w:val="en-GB"/>
        </w:rPr>
      </w:pPr>
      <w:r w:rsidRPr="003C2187">
        <w:rPr>
          <w:rFonts w:cstheme="minorHAnsi"/>
          <w:lang w:val="en-GB"/>
        </w:rPr>
        <w:t>•</w:t>
      </w:r>
      <w:r w:rsidRPr="003C2187">
        <w:rPr>
          <w:rFonts w:cstheme="minorHAnsi"/>
          <w:lang w:val="en-GB"/>
        </w:rPr>
        <w:tab/>
        <w:t xml:space="preserve">the worker has previously made a report of substantially the same information but no feedback has been provided to the worker in response to the report within the specified period or, where feedback has been provided, the worker reasonably believes that there has been no follow up or that there has been inadequate follow </w:t>
      </w:r>
      <w:proofErr w:type="gramStart"/>
      <w:r w:rsidRPr="003C2187">
        <w:rPr>
          <w:rFonts w:cstheme="minorHAnsi"/>
          <w:lang w:val="en-GB"/>
        </w:rPr>
        <w:t>up;</w:t>
      </w:r>
      <w:proofErr w:type="gramEnd"/>
    </w:p>
    <w:p w14:paraId="75C7AFD1" w14:textId="15EE00A6" w:rsidR="003C2187" w:rsidRPr="003C2187" w:rsidRDefault="003C2187" w:rsidP="00DD08DD">
      <w:pPr>
        <w:spacing w:after="120" w:line="276" w:lineRule="auto"/>
        <w:ind w:left="720" w:hanging="720"/>
        <w:rPr>
          <w:rFonts w:cstheme="minorHAnsi"/>
          <w:lang w:val="en-GB"/>
        </w:rPr>
      </w:pPr>
      <w:r w:rsidRPr="003C2187">
        <w:rPr>
          <w:rFonts w:cstheme="minorHAnsi"/>
          <w:lang w:val="en-GB"/>
        </w:rPr>
        <w:t>•</w:t>
      </w:r>
      <w:r w:rsidRPr="003C2187">
        <w:rPr>
          <w:rFonts w:cstheme="minorHAnsi"/>
          <w:lang w:val="en-GB"/>
        </w:rPr>
        <w:tab/>
        <w:t xml:space="preserve">the worker reasonably believes the head of the public body concerned is complicit in the </w:t>
      </w:r>
      <w:r w:rsidR="00382F87">
        <w:rPr>
          <w:rFonts w:cstheme="minorHAnsi"/>
          <w:lang w:val="en-GB"/>
        </w:rPr>
        <w:t xml:space="preserve">relevant wrongdoing </w:t>
      </w:r>
      <w:proofErr w:type="gramStart"/>
      <w:r w:rsidR="00382F87">
        <w:rPr>
          <w:rFonts w:cstheme="minorHAnsi"/>
          <w:lang w:val="en-GB"/>
        </w:rPr>
        <w:t>concerned;</w:t>
      </w:r>
      <w:proofErr w:type="gramEnd"/>
    </w:p>
    <w:p w14:paraId="08B0ECB3" w14:textId="77777777" w:rsidR="003C2187" w:rsidRPr="003C2187" w:rsidRDefault="003C2187" w:rsidP="00DD08DD">
      <w:pPr>
        <w:spacing w:after="120" w:line="276" w:lineRule="auto"/>
        <w:ind w:left="720" w:hanging="720"/>
        <w:rPr>
          <w:rFonts w:cstheme="minorHAnsi"/>
          <w:lang w:val="en-GB"/>
        </w:rPr>
      </w:pPr>
      <w:r w:rsidRPr="003C2187">
        <w:rPr>
          <w:rFonts w:cstheme="minorHAnsi"/>
          <w:lang w:val="en-GB"/>
        </w:rPr>
        <w:t>•</w:t>
      </w:r>
      <w:r w:rsidRPr="003C2187">
        <w:rPr>
          <w:rFonts w:cstheme="minorHAnsi"/>
          <w:lang w:val="en-GB"/>
        </w:rPr>
        <w:tab/>
        <w:t>the worker reasonably believes that the relevant wrongdoing concerned may constitute an imminent or manifest danger to the public interest.</w:t>
      </w:r>
    </w:p>
    <w:p w14:paraId="0675479A" w14:textId="68D56522" w:rsidR="003C2187" w:rsidRPr="003C2187" w:rsidRDefault="003C2187" w:rsidP="00DD08DD">
      <w:pPr>
        <w:spacing w:after="120" w:line="276" w:lineRule="auto"/>
        <w:rPr>
          <w:rFonts w:cstheme="minorHAnsi"/>
          <w:lang w:val="en-GB"/>
        </w:rPr>
      </w:pPr>
      <w:r w:rsidRPr="003C2187">
        <w:rPr>
          <w:rFonts w:cstheme="minorHAnsi"/>
          <w:lang w:val="en-GB"/>
        </w:rPr>
        <w:t xml:space="preserve">The </w:t>
      </w:r>
      <w:r>
        <w:rPr>
          <w:rFonts w:cstheme="minorHAnsi"/>
          <w:lang w:val="en-GB"/>
        </w:rPr>
        <w:t>Relevant Minister</w:t>
      </w:r>
      <w:r w:rsidRPr="003C2187">
        <w:rPr>
          <w:rFonts w:cstheme="minorHAnsi"/>
          <w:lang w:val="en-GB"/>
        </w:rPr>
        <w:t xml:space="preserve"> shall as soon as practicable </w:t>
      </w:r>
      <w:proofErr w:type="gramStart"/>
      <w:r w:rsidRPr="003C2187">
        <w:rPr>
          <w:rFonts w:cstheme="minorHAnsi"/>
          <w:lang w:val="en-GB"/>
        </w:rPr>
        <w:t xml:space="preserve">but in any case </w:t>
      </w:r>
      <w:proofErr w:type="gramEnd"/>
      <w:r w:rsidRPr="003C2187">
        <w:rPr>
          <w:rFonts w:cstheme="minorHAnsi"/>
          <w:lang w:val="en-GB"/>
        </w:rPr>
        <w:t>not later than 10 days after receipt of a report, transmit the report to the Commissioner.</w:t>
      </w:r>
      <w:r w:rsidR="00382F87">
        <w:rPr>
          <w:rStyle w:val="FootnoteReference"/>
          <w:rFonts w:cstheme="minorHAnsi"/>
          <w:lang w:val="en-GB"/>
        </w:rPr>
        <w:footnoteReference w:id="1"/>
      </w:r>
    </w:p>
    <w:p w14:paraId="5D59AF94" w14:textId="77777777" w:rsidR="003C2187" w:rsidRPr="00AA0970" w:rsidRDefault="003C2187" w:rsidP="00DD08DD">
      <w:pPr>
        <w:spacing w:after="120" w:line="276" w:lineRule="auto"/>
        <w:jc w:val="both"/>
        <w:rPr>
          <w:rFonts w:cstheme="minorHAnsi"/>
        </w:rPr>
      </w:pPr>
    </w:p>
    <w:p w14:paraId="7ABF199F" w14:textId="77777777" w:rsidR="00AA0970" w:rsidRPr="00DC6F54" w:rsidRDefault="00AA0970" w:rsidP="00DD08DD">
      <w:pPr>
        <w:spacing w:after="120" w:line="276" w:lineRule="auto"/>
        <w:rPr>
          <w:rFonts w:cstheme="minorHAnsi"/>
          <w:u w:val="single"/>
        </w:rPr>
      </w:pPr>
      <w:r w:rsidRPr="00DC6F54">
        <w:rPr>
          <w:rFonts w:cstheme="minorHAnsi"/>
          <w:u w:val="single"/>
        </w:rPr>
        <w:t>Other Persons</w:t>
      </w:r>
    </w:p>
    <w:p w14:paraId="0BE127E4" w14:textId="0A1AFA37" w:rsidR="00AA0970" w:rsidRPr="003C2187" w:rsidRDefault="00AA0970" w:rsidP="00DD08DD">
      <w:pPr>
        <w:spacing w:after="120" w:line="276" w:lineRule="auto"/>
        <w:rPr>
          <w:rFonts w:cstheme="minorHAnsi"/>
        </w:rPr>
      </w:pPr>
      <w:r w:rsidRPr="00AA0970">
        <w:rPr>
          <w:rFonts w:cstheme="minorHAnsi"/>
        </w:rPr>
        <w:t xml:space="preserve">It will very rarely, if ever, be appropriate to raise a concern with other persons and in general a </w:t>
      </w:r>
      <w:r w:rsidR="00382F87">
        <w:rPr>
          <w:rFonts w:cstheme="minorHAnsi"/>
        </w:rPr>
        <w:t xml:space="preserve">worker </w:t>
      </w:r>
      <w:r w:rsidRPr="003C2187">
        <w:rPr>
          <w:rFonts w:cstheme="minorHAnsi"/>
        </w:rPr>
        <w:t>should only do so as a last resort after exhausting the procedures set out</w:t>
      </w:r>
      <w:r w:rsidR="00382F87">
        <w:rPr>
          <w:rFonts w:cstheme="minorHAnsi"/>
        </w:rPr>
        <w:t xml:space="preserve"> above</w:t>
      </w:r>
      <w:r w:rsidRPr="003C2187">
        <w:rPr>
          <w:rFonts w:cstheme="minorHAnsi"/>
        </w:rPr>
        <w:t xml:space="preserve"> in this Policy. </w:t>
      </w:r>
    </w:p>
    <w:p w14:paraId="1A070015" w14:textId="0EBF6AF6" w:rsidR="00AA0970" w:rsidRPr="00382F87" w:rsidRDefault="00AA0970" w:rsidP="00DD08DD">
      <w:pPr>
        <w:numPr>
          <w:ilvl w:val="0"/>
          <w:numId w:val="18"/>
        </w:numPr>
        <w:spacing w:after="120" w:line="276" w:lineRule="auto"/>
        <w:rPr>
          <w:rFonts w:cstheme="minorHAnsi"/>
          <w:lang w:val="en-GB"/>
        </w:rPr>
      </w:pPr>
      <w:r w:rsidRPr="00382F87">
        <w:rPr>
          <w:rFonts w:cstheme="minorHAnsi"/>
          <w:lang w:val="en-GB"/>
        </w:rPr>
        <w:t>In order for a disclosure to other person</w:t>
      </w:r>
      <w:r w:rsidR="00382F87">
        <w:rPr>
          <w:rFonts w:cstheme="minorHAnsi"/>
          <w:lang w:val="en-GB"/>
        </w:rPr>
        <w:t>s to be protected under the Act:</w:t>
      </w:r>
    </w:p>
    <w:p w14:paraId="199AF235" w14:textId="7B77A738" w:rsidR="00AA0970" w:rsidRPr="005A148F" w:rsidRDefault="001D49CC" w:rsidP="00DD08DD">
      <w:pPr>
        <w:numPr>
          <w:ilvl w:val="0"/>
          <w:numId w:val="20"/>
        </w:numPr>
        <w:spacing w:after="120" w:line="276" w:lineRule="auto"/>
        <w:rPr>
          <w:rFonts w:cstheme="minorHAnsi"/>
          <w:lang w:val="en-GB"/>
        </w:rPr>
      </w:pPr>
      <w:r w:rsidRPr="005A148F">
        <w:rPr>
          <w:rFonts w:cstheme="minorHAnsi"/>
          <w:lang w:val="en-GB"/>
        </w:rPr>
        <w:t xml:space="preserve">The worker </w:t>
      </w:r>
      <w:r w:rsidR="00AA0970" w:rsidRPr="005A148F">
        <w:rPr>
          <w:rFonts w:cstheme="minorHAnsi"/>
          <w:lang w:val="en-GB"/>
        </w:rPr>
        <w:t xml:space="preserve">must reasonably believe that the information disclosed </w:t>
      </w:r>
      <w:r w:rsidRPr="005A148F">
        <w:rPr>
          <w:rFonts w:cstheme="minorHAnsi"/>
          <w:lang w:val="en-GB"/>
        </w:rPr>
        <w:t xml:space="preserve">in the report, and any allegation contained in it, are substantially </w:t>
      </w:r>
      <w:proofErr w:type="gramStart"/>
      <w:r w:rsidRPr="005A148F">
        <w:rPr>
          <w:rFonts w:cstheme="minorHAnsi"/>
          <w:lang w:val="en-GB"/>
        </w:rPr>
        <w:t>true;</w:t>
      </w:r>
      <w:proofErr w:type="gramEnd"/>
    </w:p>
    <w:p w14:paraId="684AA727" w14:textId="1AA16EBB" w:rsidR="00AA0970" w:rsidRPr="005A148F" w:rsidRDefault="001D49CC" w:rsidP="00DD08DD">
      <w:pPr>
        <w:numPr>
          <w:ilvl w:val="0"/>
          <w:numId w:val="20"/>
        </w:numPr>
        <w:spacing w:after="120" w:line="276" w:lineRule="auto"/>
        <w:rPr>
          <w:rFonts w:cstheme="minorHAnsi"/>
          <w:lang w:val="en-GB"/>
        </w:rPr>
      </w:pPr>
      <w:r w:rsidRPr="005A148F">
        <w:rPr>
          <w:rFonts w:cstheme="minorHAnsi"/>
          <w:lang w:val="en-GB"/>
        </w:rPr>
        <w:t xml:space="preserve">The worker </w:t>
      </w:r>
      <w:r w:rsidRPr="005A148F">
        <w:rPr>
          <w:rFonts w:cstheme="minorHAnsi"/>
        </w:rPr>
        <w:t xml:space="preserve">has previously made a disclosure of substantially the same information, but no appropriate action was taken in response to the </w:t>
      </w:r>
      <w:proofErr w:type="gramStart"/>
      <w:r w:rsidRPr="005A148F">
        <w:rPr>
          <w:rFonts w:cstheme="minorHAnsi"/>
        </w:rPr>
        <w:t>report</w:t>
      </w:r>
      <w:r w:rsidR="00AA0970" w:rsidRPr="005A148F">
        <w:rPr>
          <w:rFonts w:cstheme="minorHAnsi"/>
          <w:lang w:val="en-GB"/>
        </w:rPr>
        <w:t>;</w:t>
      </w:r>
      <w:proofErr w:type="gramEnd"/>
    </w:p>
    <w:p w14:paraId="5765A55C" w14:textId="5FFD8AC6" w:rsidR="001D49CC" w:rsidRPr="005A148F" w:rsidRDefault="00AA0970" w:rsidP="00DD08DD">
      <w:pPr>
        <w:numPr>
          <w:ilvl w:val="0"/>
          <w:numId w:val="20"/>
        </w:numPr>
        <w:spacing w:after="120" w:line="276" w:lineRule="auto"/>
        <w:rPr>
          <w:rFonts w:cstheme="minorHAnsi"/>
          <w:lang w:val="en-GB"/>
        </w:rPr>
      </w:pPr>
      <w:r w:rsidRPr="005A148F">
        <w:rPr>
          <w:rFonts w:cstheme="minorHAnsi"/>
          <w:lang w:val="en-GB"/>
        </w:rPr>
        <w:t xml:space="preserve">The </w:t>
      </w:r>
      <w:r w:rsidR="001D49CC" w:rsidRPr="005A148F">
        <w:rPr>
          <w:rFonts w:cstheme="minorHAnsi"/>
          <w:lang w:val="en-GB"/>
        </w:rPr>
        <w:t xml:space="preserve">worker reasonably believes that </w:t>
      </w:r>
      <w:r w:rsidR="001D49CC" w:rsidRPr="005A148F">
        <w:rPr>
          <w:rFonts w:cstheme="minorHAnsi"/>
        </w:rPr>
        <w:t xml:space="preserve">the relevant wrongdoing concerned may constitute an imminent or manifest danger to the public interest, such as where there is an emergency situation or a risk of irreversible </w:t>
      </w:r>
      <w:proofErr w:type="gramStart"/>
      <w:r w:rsidR="001D49CC" w:rsidRPr="005A148F">
        <w:rPr>
          <w:rFonts w:cstheme="minorHAnsi"/>
        </w:rPr>
        <w:t>damage;</w:t>
      </w:r>
      <w:proofErr w:type="gramEnd"/>
    </w:p>
    <w:p w14:paraId="771EF64D" w14:textId="69A3F7FB" w:rsidR="001D49CC" w:rsidRPr="005A148F" w:rsidRDefault="001D49CC" w:rsidP="00DD08DD">
      <w:pPr>
        <w:numPr>
          <w:ilvl w:val="0"/>
          <w:numId w:val="20"/>
        </w:numPr>
        <w:spacing w:after="120" w:line="276" w:lineRule="auto"/>
        <w:rPr>
          <w:rFonts w:cstheme="minorHAnsi"/>
          <w:lang w:val="en-GB"/>
        </w:rPr>
      </w:pPr>
      <w:r w:rsidRPr="005A148F">
        <w:rPr>
          <w:rFonts w:cstheme="minorHAnsi"/>
        </w:rPr>
        <w:t xml:space="preserve">The worker reasonably believes that </w:t>
      </w:r>
      <w:r w:rsidRPr="003C2187">
        <w:rPr>
          <w:rFonts w:cstheme="minorHAnsi"/>
        </w:rPr>
        <w:t xml:space="preserve">that they will be subjected to penalisation if they make the disclosure in another </w:t>
      </w:r>
      <w:proofErr w:type="gramStart"/>
      <w:r w:rsidRPr="003C2187">
        <w:rPr>
          <w:rFonts w:cstheme="minorHAnsi"/>
        </w:rPr>
        <w:t>way;</w:t>
      </w:r>
      <w:proofErr w:type="gramEnd"/>
    </w:p>
    <w:p w14:paraId="4F10BDA3" w14:textId="441DDA5F" w:rsidR="001D49CC" w:rsidRPr="005A148F" w:rsidRDefault="001D49CC" w:rsidP="00DD08DD">
      <w:pPr>
        <w:numPr>
          <w:ilvl w:val="0"/>
          <w:numId w:val="20"/>
        </w:numPr>
        <w:spacing w:after="120" w:line="276" w:lineRule="auto"/>
        <w:rPr>
          <w:rFonts w:cstheme="minorHAnsi"/>
          <w:lang w:val="en-GB"/>
        </w:rPr>
      </w:pPr>
      <w:r w:rsidRPr="003C2187">
        <w:rPr>
          <w:rFonts w:cstheme="minorHAnsi"/>
        </w:rPr>
        <w:t xml:space="preserve">The worker reasonably believes that there is </w:t>
      </w:r>
      <w:r w:rsidRPr="002946E4">
        <w:rPr>
          <w:rFonts w:cstheme="minorHAnsi"/>
        </w:rPr>
        <w:t>a low prospect of the relevant wrongdoing being effectively addressed</w:t>
      </w:r>
      <w:r w:rsidRPr="00382F87">
        <w:rPr>
          <w:rFonts w:cstheme="minorHAnsi"/>
        </w:rPr>
        <w:t xml:space="preserve"> due to the particular circumstances of the case, s</w:t>
      </w:r>
      <w:r w:rsidRPr="00BF06F6">
        <w:rPr>
          <w:rFonts w:cstheme="minorHAnsi"/>
        </w:rPr>
        <w:t>uch as those where evidence may be concealed or destroyed or where a prescribed person may be in collusion with the perpetrator of the wrongdoing or involved in the wrongdoing</w:t>
      </w:r>
      <w:r w:rsidR="00E32FC2" w:rsidRPr="004821C8">
        <w:rPr>
          <w:rFonts w:cstheme="minorHAnsi"/>
        </w:rPr>
        <w:t>.</w:t>
      </w:r>
      <w:r w:rsidRPr="004821C8">
        <w:rPr>
          <w:rFonts w:cstheme="minorHAnsi"/>
        </w:rPr>
        <w:t xml:space="preserve"> </w:t>
      </w:r>
    </w:p>
    <w:p w14:paraId="484F401C" w14:textId="77777777" w:rsidR="005704F1" w:rsidRDefault="005704F1" w:rsidP="00DD08DD">
      <w:pPr>
        <w:spacing w:after="120" w:line="276" w:lineRule="auto"/>
        <w:rPr>
          <w:rFonts w:cstheme="minorHAnsi"/>
          <w:highlight w:val="green"/>
          <w:lang w:val="en-GB"/>
        </w:rPr>
      </w:pPr>
    </w:p>
    <w:p w14:paraId="5A7470F8" w14:textId="15FB8457" w:rsidR="00AA0970" w:rsidRPr="00AA0970" w:rsidRDefault="00AA0970" w:rsidP="00DD08DD">
      <w:pPr>
        <w:spacing w:after="120" w:line="276" w:lineRule="auto"/>
        <w:rPr>
          <w:rFonts w:cstheme="minorHAnsi"/>
          <w:lang w:val="en-US"/>
        </w:rPr>
      </w:pPr>
      <w:r w:rsidRPr="00E32FC2">
        <w:rPr>
          <w:rFonts w:cstheme="minorHAnsi"/>
          <w:lang w:val="en-US"/>
        </w:rPr>
        <w:lastRenderedPageBreak/>
        <w:t xml:space="preserve">External parties to whom protected disclosures are reported will have obligations to acknowledge the </w:t>
      </w:r>
      <w:r w:rsidR="00382F87">
        <w:rPr>
          <w:rFonts w:cstheme="minorHAnsi"/>
          <w:lang w:val="en-US"/>
        </w:rPr>
        <w:t>w</w:t>
      </w:r>
      <w:r w:rsidR="003C2187">
        <w:rPr>
          <w:rFonts w:cstheme="minorHAnsi"/>
          <w:lang w:val="en-US"/>
        </w:rPr>
        <w:t>orker</w:t>
      </w:r>
      <w:r w:rsidRPr="00E32FC2">
        <w:rPr>
          <w:rFonts w:cstheme="minorHAnsi"/>
          <w:lang w:val="en-US"/>
        </w:rPr>
        <w:t xml:space="preserve">’s report, diligently follow up on the report, and to provide the </w:t>
      </w:r>
      <w:r w:rsidR="00382F87">
        <w:rPr>
          <w:rFonts w:cstheme="minorHAnsi"/>
          <w:lang w:val="en-US"/>
        </w:rPr>
        <w:t>w</w:t>
      </w:r>
      <w:r w:rsidR="003C2187">
        <w:rPr>
          <w:rFonts w:cstheme="minorHAnsi"/>
          <w:lang w:val="en-US"/>
        </w:rPr>
        <w:t>orker</w:t>
      </w:r>
      <w:r w:rsidRPr="00E32FC2">
        <w:rPr>
          <w:rFonts w:cstheme="minorHAnsi"/>
          <w:lang w:val="en-US"/>
        </w:rPr>
        <w:t xml:space="preserve"> with feedback. </w:t>
      </w:r>
      <w:r w:rsidR="005704F1">
        <w:rPr>
          <w:rFonts w:cstheme="minorHAnsi"/>
          <w:lang w:val="en-US"/>
        </w:rPr>
        <w:t>T</w:t>
      </w:r>
      <w:r w:rsidR="005704F1" w:rsidRPr="005704F1">
        <w:rPr>
          <w:rFonts w:cstheme="minorHAnsi"/>
          <w:lang w:val="en-US"/>
        </w:rPr>
        <w:t>he deadline for the giving of feedback can, in such inst</w:t>
      </w:r>
      <w:r w:rsidR="005704F1">
        <w:rPr>
          <w:rFonts w:cstheme="minorHAnsi"/>
          <w:lang w:val="en-US"/>
        </w:rPr>
        <w:t xml:space="preserve">ances, be extended to 6 months </w:t>
      </w:r>
      <w:r w:rsidR="005704F1" w:rsidRPr="005704F1">
        <w:rPr>
          <w:rFonts w:cstheme="minorHAnsi"/>
          <w:lang w:val="en-US"/>
        </w:rPr>
        <w:t xml:space="preserve">in duly justified cases due to the </w:t>
      </w:r>
      <w:proofErr w:type="gramStart"/>
      <w:r w:rsidR="005704F1" w:rsidRPr="005704F1">
        <w:rPr>
          <w:rFonts w:cstheme="minorHAnsi"/>
          <w:lang w:val="en-US"/>
        </w:rPr>
        <w:t>particular natur</w:t>
      </w:r>
      <w:r w:rsidR="005704F1">
        <w:rPr>
          <w:rFonts w:cstheme="minorHAnsi"/>
          <w:lang w:val="en-US"/>
        </w:rPr>
        <w:t>e</w:t>
      </w:r>
      <w:proofErr w:type="gramEnd"/>
      <w:r w:rsidR="005704F1">
        <w:rPr>
          <w:rFonts w:cstheme="minorHAnsi"/>
          <w:lang w:val="en-US"/>
        </w:rPr>
        <w:t xml:space="preserve"> and complexity of the report. </w:t>
      </w:r>
      <w:r w:rsidRPr="00E32FC2">
        <w:rPr>
          <w:rFonts w:cstheme="minorHAnsi"/>
          <w:lang w:val="en-US"/>
        </w:rPr>
        <w:t>However, they may close their procedure where, following an initial assessment, they determine that the relevant wrongdoing is clearly minor and does not require further follow up, or in the case of repetitive reports which do not contain any meaningful new information about a relevant wrongdoing compared to a previous report.</w:t>
      </w:r>
      <w:r w:rsidRPr="00AA0970">
        <w:rPr>
          <w:rFonts w:cstheme="minorHAnsi"/>
          <w:lang w:val="en-US"/>
        </w:rPr>
        <w:t xml:space="preserve"> </w:t>
      </w:r>
    </w:p>
    <w:p w14:paraId="464F1B9C" w14:textId="77777777" w:rsidR="0081122B" w:rsidRPr="007B542B" w:rsidRDefault="0081122B" w:rsidP="00DD08DD">
      <w:pPr>
        <w:spacing w:before="120" w:after="0" w:line="276" w:lineRule="auto"/>
        <w:jc w:val="both"/>
        <w:rPr>
          <w:rFonts w:cs="Tahoma"/>
        </w:rPr>
      </w:pPr>
    </w:p>
    <w:p w14:paraId="63E2FC52" w14:textId="42C2E23A" w:rsidR="0081122B" w:rsidRPr="00DD08DD" w:rsidRDefault="00080C89" w:rsidP="00DD08DD">
      <w:pPr>
        <w:pStyle w:val="Heading1"/>
        <w:numPr>
          <w:ilvl w:val="0"/>
          <w:numId w:val="14"/>
        </w:numPr>
        <w:spacing w:after="60" w:line="276" w:lineRule="auto"/>
        <w:rPr>
          <w:color w:val="2F5496" w:themeColor="accent1" w:themeShade="BF"/>
        </w:rPr>
      </w:pPr>
      <w:bookmarkStart w:id="19" w:name="_Toc120448338"/>
      <w:r w:rsidRPr="00DD08DD">
        <w:rPr>
          <w:color w:val="2F5496" w:themeColor="accent1" w:themeShade="BF"/>
        </w:rPr>
        <w:t>reasonable belief</w:t>
      </w:r>
      <w:bookmarkEnd w:id="19"/>
    </w:p>
    <w:p w14:paraId="5D5F3102" w14:textId="7CD11A37" w:rsidR="00080C89" w:rsidRPr="00080C89" w:rsidRDefault="00080C89" w:rsidP="00DD08DD">
      <w:pPr>
        <w:spacing w:line="276" w:lineRule="auto"/>
        <w:rPr>
          <w:rFonts w:cs="Tahoma"/>
        </w:rPr>
      </w:pPr>
      <w:r>
        <w:rPr>
          <w:rFonts w:cs="Tahoma"/>
        </w:rPr>
        <w:t>The worker</w:t>
      </w:r>
      <w:r w:rsidRPr="00080C89">
        <w:rPr>
          <w:rFonts w:cs="Tahoma"/>
        </w:rPr>
        <w:t xml:space="preserve"> </w:t>
      </w:r>
      <w:r w:rsidR="00C824FA">
        <w:rPr>
          <w:rFonts w:cs="Tahoma"/>
        </w:rPr>
        <w:t xml:space="preserve">must </w:t>
      </w:r>
      <w:r w:rsidRPr="00080C89">
        <w:rPr>
          <w:rFonts w:cs="Tahoma"/>
        </w:rPr>
        <w:t xml:space="preserve">be aware that the protections of the Act apply where a disclosure is made which in </w:t>
      </w:r>
      <w:r w:rsidR="005352DB">
        <w:rPr>
          <w:rFonts w:cs="Tahoma"/>
        </w:rPr>
        <w:t>their</w:t>
      </w:r>
      <w:r w:rsidR="00BA75B5">
        <w:rPr>
          <w:rFonts w:cs="Tahoma"/>
        </w:rPr>
        <w:t xml:space="preserve"> </w:t>
      </w:r>
      <w:r w:rsidRPr="00080C89">
        <w:rPr>
          <w:rFonts w:cs="Tahoma"/>
        </w:rPr>
        <w:t xml:space="preserve">“reasonable belief” shows one or more “relevant wrongdoings”, and it came to </w:t>
      </w:r>
      <w:r w:rsidR="005352DB">
        <w:rPr>
          <w:rFonts w:cs="Tahoma"/>
        </w:rPr>
        <w:t>their</w:t>
      </w:r>
      <w:r>
        <w:rPr>
          <w:rFonts w:cs="Tahoma"/>
        </w:rPr>
        <w:t xml:space="preserve"> </w:t>
      </w:r>
      <w:r w:rsidRPr="00080C89">
        <w:rPr>
          <w:rFonts w:cs="Tahoma"/>
        </w:rPr>
        <w:t xml:space="preserve">attention in a work related context.  If a disclosure is made that meets these </w:t>
      </w:r>
      <w:proofErr w:type="gramStart"/>
      <w:r w:rsidRPr="00080C89">
        <w:rPr>
          <w:rFonts w:cs="Tahoma"/>
        </w:rPr>
        <w:t>criteria</w:t>
      </w:r>
      <w:proofErr w:type="gramEnd"/>
      <w:r w:rsidRPr="00080C89">
        <w:rPr>
          <w:rFonts w:cs="Tahoma"/>
        </w:rPr>
        <w:t xml:space="preserve"> then the protections of this Policy and the Act will apply to </w:t>
      </w:r>
      <w:r w:rsidR="005352DB">
        <w:rPr>
          <w:rFonts w:cs="Tahoma"/>
        </w:rPr>
        <w:t>them</w:t>
      </w:r>
      <w:r w:rsidRPr="00080C89">
        <w:rPr>
          <w:rFonts w:cs="Tahoma"/>
        </w:rPr>
        <w:t xml:space="preserve">, even if </w:t>
      </w:r>
      <w:r w:rsidR="005352DB">
        <w:rPr>
          <w:rFonts w:cs="Tahoma"/>
        </w:rPr>
        <w:t>their</w:t>
      </w:r>
      <w:r w:rsidRPr="00080C89">
        <w:rPr>
          <w:rFonts w:cs="Tahoma"/>
        </w:rPr>
        <w:t xml:space="preserve"> concerns turn out to be unfounded. </w:t>
      </w:r>
    </w:p>
    <w:p w14:paraId="3870EEF9" w14:textId="0F58B87F" w:rsidR="0081122B" w:rsidRDefault="00080C89" w:rsidP="00DD08DD">
      <w:pPr>
        <w:spacing w:line="276" w:lineRule="auto"/>
        <w:rPr>
          <w:rFonts w:cs="Tahoma"/>
        </w:rPr>
      </w:pPr>
      <w:r w:rsidRPr="00080C89">
        <w:rPr>
          <w:rFonts w:cs="Tahoma"/>
        </w:rPr>
        <w:t xml:space="preserve">However, disclosures that do not meet these criteria may constitute a disciplinary offence for the purposes of the </w:t>
      </w:r>
      <w:r w:rsidR="00CD1C79">
        <w:rPr>
          <w:rFonts w:cs="Tahoma"/>
        </w:rPr>
        <w:t>HRB’s</w:t>
      </w:r>
      <w:r w:rsidRPr="00080C89">
        <w:rPr>
          <w:rFonts w:cs="Tahoma"/>
        </w:rPr>
        <w:t xml:space="preserve"> Disciplinary Procedure.  Examples include making a disclosure that </w:t>
      </w:r>
      <w:r>
        <w:rPr>
          <w:rFonts w:cs="Tahoma"/>
        </w:rPr>
        <w:t xml:space="preserve">a worker </w:t>
      </w:r>
      <w:r w:rsidRPr="00080C89">
        <w:rPr>
          <w:rFonts w:cs="Tahoma"/>
        </w:rPr>
        <w:t>do</w:t>
      </w:r>
      <w:r>
        <w:rPr>
          <w:rFonts w:cs="Tahoma"/>
        </w:rPr>
        <w:t>es</w:t>
      </w:r>
      <w:r w:rsidRPr="00080C89">
        <w:rPr>
          <w:rFonts w:cs="Tahoma"/>
        </w:rPr>
        <w:t xml:space="preserve"> not reasonably believe to be true. </w:t>
      </w:r>
    </w:p>
    <w:p w14:paraId="17B46F09" w14:textId="77777777" w:rsidR="004C6BF6" w:rsidRDefault="004C6BF6" w:rsidP="00080C89">
      <w:pPr>
        <w:jc w:val="both"/>
        <w:rPr>
          <w:rFonts w:cs="Tahoma"/>
        </w:rPr>
      </w:pPr>
    </w:p>
    <w:p w14:paraId="5F8C9F78" w14:textId="77777777" w:rsidR="0081122B" w:rsidRPr="00DD08DD" w:rsidRDefault="0081122B" w:rsidP="005B0E9F">
      <w:pPr>
        <w:pStyle w:val="Heading1"/>
        <w:numPr>
          <w:ilvl w:val="0"/>
          <w:numId w:val="14"/>
        </w:numPr>
        <w:spacing w:after="60" w:line="276" w:lineRule="auto"/>
        <w:rPr>
          <w:color w:val="2F5496" w:themeColor="accent1" w:themeShade="BF"/>
        </w:rPr>
      </w:pPr>
      <w:bookmarkStart w:id="20" w:name="_Toc120448339"/>
      <w:r w:rsidRPr="00DD08DD">
        <w:rPr>
          <w:color w:val="2F5496" w:themeColor="accent1" w:themeShade="BF"/>
        </w:rPr>
        <w:t>Confidentiality</w:t>
      </w:r>
      <w:bookmarkEnd w:id="20"/>
    </w:p>
    <w:p w14:paraId="30CEB6B4" w14:textId="047FB7C0" w:rsidR="0081122B" w:rsidRPr="00DC6F54" w:rsidRDefault="008D6789" w:rsidP="00DD08DD">
      <w:pPr>
        <w:spacing w:after="120" w:line="276" w:lineRule="auto"/>
        <w:rPr>
          <w:rFonts w:cstheme="minorHAnsi"/>
        </w:rPr>
      </w:pPr>
      <w:r w:rsidRPr="00C824FA">
        <w:rPr>
          <w:rFonts w:cstheme="minorHAnsi"/>
        </w:rPr>
        <w:t>The person to whom a worker makes a report will not, without their consent, disclose their identity direct</w:t>
      </w:r>
      <w:r w:rsidRPr="00AA0970">
        <w:rPr>
          <w:rFonts w:cstheme="minorHAnsi"/>
        </w:rPr>
        <w:t xml:space="preserve">ly or indirectly to anyone other than those who </w:t>
      </w:r>
      <w:r w:rsidR="00BF13AA">
        <w:rPr>
          <w:rFonts w:cstheme="minorHAnsi"/>
        </w:rPr>
        <w:t>they</w:t>
      </w:r>
      <w:r w:rsidRPr="00AA0970">
        <w:rPr>
          <w:rFonts w:cstheme="minorHAnsi"/>
        </w:rPr>
        <w:t xml:space="preserve"> reasonably </w:t>
      </w:r>
      <w:proofErr w:type="gramStart"/>
      <w:r w:rsidRPr="00AA0970">
        <w:rPr>
          <w:rFonts w:cstheme="minorHAnsi"/>
        </w:rPr>
        <w:t>considers</w:t>
      </w:r>
      <w:proofErr w:type="gramEnd"/>
      <w:r w:rsidRPr="00AA0970">
        <w:rPr>
          <w:rFonts w:cstheme="minorHAnsi"/>
        </w:rPr>
        <w:t xml:space="preserve"> necessary for the purposes of receiving or following up on their report. </w:t>
      </w:r>
      <w:r w:rsidR="0081122B" w:rsidRPr="00AA0970">
        <w:rPr>
          <w:rFonts w:cstheme="minorHAnsi"/>
        </w:rPr>
        <w:t xml:space="preserve">All </w:t>
      </w:r>
      <w:r w:rsidR="004A6EA0">
        <w:rPr>
          <w:rFonts w:cstheme="minorHAnsi"/>
        </w:rPr>
        <w:t>worker</w:t>
      </w:r>
      <w:r w:rsidR="0081122B" w:rsidRPr="00AA0970">
        <w:rPr>
          <w:rFonts w:cstheme="minorHAnsi"/>
        </w:rPr>
        <w:t>s involved in the investigation will be required to maintain confidentiality in relation to the c</w:t>
      </w:r>
      <w:r w:rsidR="0081122B" w:rsidRPr="00DC6F54">
        <w:rPr>
          <w:rFonts w:cstheme="minorHAnsi"/>
        </w:rPr>
        <w:t xml:space="preserve">oncerns being raised.   </w:t>
      </w:r>
    </w:p>
    <w:p w14:paraId="7D5B0033" w14:textId="79DC13D6" w:rsidR="008D6789" w:rsidRPr="007E7C68" w:rsidRDefault="008D6789" w:rsidP="00DD08DD">
      <w:pPr>
        <w:spacing w:after="120" w:line="276" w:lineRule="auto"/>
        <w:rPr>
          <w:rFonts w:cstheme="minorHAnsi"/>
        </w:rPr>
      </w:pPr>
      <w:r w:rsidRPr="007E7C68">
        <w:rPr>
          <w:rFonts w:cstheme="minorHAnsi"/>
        </w:rPr>
        <w:t xml:space="preserve">Workers should be aware that the Act does provide for exceptions whereby a </w:t>
      </w:r>
      <w:proofErr w:type="spellStart"/>
      <w:r w:rsidRPr="007E7C68">
        <w:rPr>
          <w:rFonts w:cstheme="minorHAnsi"/>
        </w:rPr>
        <w:t>whistleblower’s</w:t>
      </w:r>
      <w:proofErr w:type="spellEnd"/>
      <w:r w:rsidRPr="007E7C68">
        <w:rPr>
          <w:rFonts w:cstheme="minorHAnsi"/>
        </w:rPr>
        <w:t xml:space="preserve"> identity may be revealed. In those circumstances, </w:t>
      </w:r>
      <w:r w:rsidR="00BF13AA">
        <w:rPr>
          <w:rFonts w:cstheme="minorHAnsi"/>
        </w:rPr>
        <w:t xml:space="preserve">the worker </w:t>
      </w:r>
      <w:r w:rsidRPr="007E7C68">
        <w:rPr>
          <w:rFonts w:cstheme="minorHAnsi"/>
        </w:rPr>
        <w:t xml:space="preserve">will be notified in writing of this (together with reasons) in advance, unless doing so would jeopardise: an effective investigation; the prevention of serious risk to security of the state; public health; public safety or the environment; or the prevention of crime or prosecution of a criminal offence. </w:t>
      </w:r>
    </w:p>
    <w:p w14:paraId="2723973F" w14:textId="6189ADC4" w:rsidR="008D6789" w:rsidRPr="007E7C68" w:rsidRDefault="008D6789" w:rsidP="00DD08DD">
      <w:pPr>
        <w:spacing w:after="120" w:line="276" w:lineRule="auto"/>
        <w:rPr>
          <w:rFonts w:cstheme="minorHAnsi"/>
        </w:rPr>
      </w:pPr>
      <w:r w:rsidRPr="007E7C68">
        <w:rPr>
          <w:rFonts w:cstheme="minorHAnsi"/>
        </w:rPr>
        <w:t xml:space="preserve">The circumstances in which </w:t>
      </w:r>
      <w:r w:rsidR="00BF13AA">
        <w:rPr>
          <w:rFonts w:cstheme="minorHAnsi"/>
        </w:rPr>
        <w:t xml:space="preserve">the </w:t>
      </w:r>
      <w:r w:rsidRPr="007E7C68">
        <w:rPr>
          <w:rFonts w:cstheme="minorHAnsi"/>
        </w:rPr>
        <w:t xml:space="preserve">identity </w:t>
      </w:r>
      <w:r w:rsidR="00BF13AA">
        <w:rPr>
          <w:rFonts w:cstheme="minorHAnsi"/>
        </w:rPr>
        <w:t xml:space="preserve">of the worker </w:t>
      </w:r>
      <w:r w:rsidRPr="007E7C68">
        <w:rPr>
          <w:rFonts w:cstheme="minorHAnsi"/>
        </w:rPr>
        <w:t xml:space="preserve">might be disclosed are where: </w:t>
      </w:r>
    </w:p>
    <w:p w14:paraId="4D725D80" w14:textId="77777777" w:rsidR="00C824FA" w:rsidRPr="00DC6F54" w:rsidRDefault="008D6789" w:rsidP="00DD08DD">
      <w:pPr>
        <w:pStyle w:val="ListParagraph"/>
        <w:numPr>
          <w:ilvl w:val="0"/>
          <w:numId w:val="29"/>
        </w:numPr>
        <w:spacing w:after="120" w:line="276" w:lineRule="auto"/>
        <w:rPr>
          <w:rFonts w:asciiTheme="minorHAnsi" w:hAnsiTheme="minorHAnsi" w:cstheme="minorHAnsi"/>
          <w:sz w:val="22"/>
          <w:szCs w:val="22"/>
        </w:rPr>
      </w:pPr>
      <w:r w:rsidRPr="00DC6F54">
        <w:rPr>
          <w:rFonts w:asciiTheme="minorHAnsi" w:hAnsiTheme="minorHAnsi" w:cstheme="minorHAnsi"/>
          <w:sz w:val="22"/>
          <w:szCs w:val="22"/>
        </w:rPr>
        <w:t xml:space="preserve">disclosure is necessary and proportionate obligation in the context of investigations or judicial proceedings, including with a view to safeguarding the rights of defence of any person referred to in a report in respect of whom relevant wrongdoing is attributed or </w:t>
      </w:r>
      <w:proofErr w:type="gramStart"/>
      <w:r w:rsidRPr="00DC6F54">
        <w:rPr>
          <w:rFonts w:asciiTheme="minorHAnsi" w:hAnsiTheme="minorHAnsi" w:cstheme="minorHAnsi"/>
          <w:sz w:val="22"/>
          <w:szCs w:val="22"/>
        </w:rPr>
        <w:t>associated;</w:t>
      </w:r>
      <w:proofErr w:type="gramEnd"/>
    </w:p>
    <w:p w14:paraId="35655117" w14:textId="77777777" w:rsidR="00C824FA" w:rsidRPr="00DC6F54" w:rsidRDefault="008D6789" w:rsidP="00DD08DD">
      <w:pPr>
        <w:pStyle w:val="ListParagraph"/>
        <w:numPr>
          <w:ilvl w:val="0"/>
          <w:numId w:val="29"/>
        </w:numPr>
        <w:spacing w:after="120" w:line="276" w:lineRule="auto"/>
        <w:rPr>
          <w:rFonts w:asciiTheme="minorHAnsi" w:hAnsiTheme="minorHAnsi" w:cstheme="minorHAnsi"/>
          <w:sz w:val="22"/>
          <w:szCs w:val="22"/>
        </w:rPr>
      </w:pPr>
      <w:r w:rsidRPr="00DC6F54">
        <w:rPr>
          <w:rFonts w:asciiTheme="minorHAnsi" w:hAnsiTheme="minorHAnsi" w:cstheme="minorHAnsi"/>
          <w:sz w:val="22"/>
          <w:szCs w:val="22"/>
        </w:rPr>
        <w:t xml:space="preserve"> the person to whom the report is transmitted takes all reasonable steps to avoid disclosing identity or reasonably believes that disclosing identity is necessary for the prevention of serious risk to the security of the state, public health, public </w:t>
      </w:r>
      <w:proofErr w:type="gramStart"/>
      <w:r w:rsidRPr="00DC6F54">
        <w:rPr>
          <w:rFonts w:asciiTheme="minorHAnsi" w:hAnsiTheme="minorHAnsi" w:cstheme="minorHAnsi"/>
          <w:sz w:val="22"/>
          <w:szCs w:val="22"/>
        </w:rPr>
        <w:t>safety</w:t>
      </w:r>
      <w:proofErr w:type="gramEnd"/>
      <w:r w:rsidRPr="00DC6F54">
        <w:rPr>
          <w:rFonts w:asciiTheme="minorHAnsi" w:hAnsiTheme="minorHAnsi" w:cstheme="minorHAnsi"/>
          <w:sz w:val="22"/>
          <w:szCs w:val="22"/>
        </w:rPr>
        <w:t xml:space="preserve"> or the environment; or</w:t>
      </w:r>
    </w:p>
    <w:p w14:paraId="57289656" w14:textId="77777777" w:rsidR="008D6789" w:rsidRPr="00DC6F54" w:rsidRDefault="008D6789" w:rsidP="00DD08DD">
      <w:pPr>
        <w:pStyle w:val="ListParagraph"/>
        <w:numPr>
          <w:ilvl w:val="0"/>
          <w:numId w:val="29"/>
        </w:numPr>
        <w:spacing w:after="120" w:line="276" w:lineRule="auto"/>
        <w:rPr>
          <w:rFonts w:asciiTheme="minorHAnsi" w:hAnsiTheme="minorHAnsi" w:cstheme="minorHAnsi"/>
          <w:sz w:val="22"/>
          <w:szCs w:val="22"/>
        </w:rPr>
      </w:pPr>
      <w:r w:rsidRPr="00DC6F54">
        <w:rPr>
          <w:rFonts w:asciiTheme="minorHAnsi" w:hAnsiTheme="minorHAnsi" w:cstheme="minorHAnsi"/>
          <w:sz w:val="22"/>
          <w:szCs w:val="22"/>
        </w:rPr>
        <w:t xml:space="preserve">where disclosure is otherwise required by law. </w:t>
      </w:r>
    </w:p>
    <w:p w14:paraId="0543F7C1" w14:textId="3635CEB3" w:rsidR="0081122B" w:rsidRPr="00AA0970" w:rsidRDefault="008D6789" w:rsidP="00DD08DD">
      <w:pPr>
        <w:spacing w:after="120" w:line="276" w:lineRule="auto"/>
        <w:rPr>
          <w:rFonts w:cstheme="minorHAnsi"/>
        </w:rPr>
      </w:pPr>
      <w:r w:rsidRPr="00C824FA">
        <w:rPr>
          <w:rFonts w:cstheme="minorHAnsi"/>
        </w:rPr>
        <w:t>The identity of any persons referred to in a report as a person to whom relevant wrongdoing is attributed or associated shall also be protected from disclosure to the greatest extent consistent with a fair investigation.</w:t>
      </w:r>
    </w:p>
    <w:p w14:paraId="1B844ADB" w14:textId="44376980" w:rsidR="0081122B" w:rsidRDefault="008D6789" w:rsidP="00DD08DD">
      <w:pPr>
        <w:spacing w:after="120" w:line="276" w:lineRule="auto"/>
      </w:pPr>
      <w:r w:rsidRPr="008D6789">
        <w:lastRenderedPageBreak/>
        <w:t xml:space="preserve">The </w:t>
      </w:r>
      <w:r w:rsidR="00CD1C79">
        <w:t xml:space="preserve">HRB </w:t>
      </w:r>
      <w:r w:rsidRPr="008D6789">
        <w:t xml:space="preserve">does not encourage anonymous disclosures and is not obliged to accept and follow-up on anonymous reports, which will be assessed on a case-by-case basis.  Proper investigation may be more difficult or impossible if </w:t>
      </w:r>
      <w:r w:rsidR="00BF13AA">
        <w:t>the HRB</w:t>
      </w:r>
      <w:r w:rsidRPr="008D6789">
        <w:t xml:space="preserve"> cannot obtain further information from </w:t>
      </w:r>
      <w:r w:rsidR="00BF13AA">
        <w:t>the worker</w:t>
      </w:r>
      <w:r w:rsidRPr="008D6789">
        <w:t>.</w:t>
      </w:r>
      <w:r w:rsidR="0081122B">
        <w:t xml:space="preserve"> </w:t>
      </w:r>
    </w:p>
    <w:p w14:paraId="3D387FB0" w14:textId="77777777" w:rsidR="0081122B" w:rsidRDefault="0081122B" w:rsidP="0081122B">
      <w:pPr>
        <w:jc w:val="both"/>
      </w:pPr>
    </w:p>
    <w:p w14:paraId="3B874B65" w14:textId="3664CA04" w:rsidR="0081122B" w:rsidRPr="00760253" w:rsidRDefault="0081122B" w:rsidP="005B0E9F">
      <w:pPr>
        <w:pStyle w:val="Heading1"/>
        <w:numPr>
          <w:ilvl w:val="0"/>
          <w:numId w:val="14"/>
        </w:numPr>
        <w:spacing w:after="60" w:line="276" w:lineRule="auto"/>
        <w:rPr>
          <w:color w:val="2F5496" w:themeColor="accent1" w:themeShade="BF"/>
        </w:rPr>
      </w:pPr>
      <w:bookmarkStart w:id="21" w:name="_Toc120448340"/>
      <w:r w:rsidRPr="00760253">
        <w:rPr>
          <w:color w:val="2F5496" w:themeColor="accent1" w:themeShade="BF"/>
        </w:rPr>
        <w:t>Representation</w:t>
      </w:r>
      <w:bookmarkEnd w:id="21"/>
    </w:p>
    <w:p w14:paraId="50642DF8" w14:textId="054C7BC8" w:rsidR="0081122B" w:rsidRPr="001E266C" w:rsidRDefault="0081122B" w:rsidP="00760253">
      <w:pPr>
        <w:spacing w:after="120" w:line="276" w:lineRule="auto"/>
      </w:pPr>
      <w:r w:rsidRPr="00CD6648">
        <w:t xml:space="preserve">A </w:t>
      </w:r>
      <w:r w:rsidR="004A6EA0">
        <w:t>worker</w:t>
      </w:r>
      <w:r w:rsidRPr="00CD6648">
        <w:t xml:space="preserve"> may invite their trade union representative or a work colleague to be present during any meetings or interviews in connection with the concerns raised.</w:t>
      </w:r>
      <w:r w:rsidR="001E266C" w:rsidRPr="00CD6648">
        <w:t xml:space="preserve">  The trade union representative or work colleague will be required to maintain confidentiality </w:t>
      </w:r>
      <w:r w:rsidR="002E0CC5" w:rsidRPr="00DF56CC">
        <w:t>in relation to the concerns being raised.</w:t>
      </w:r>
      <w:r w:rsidR="00382F87">
        <w:rPr>
          <w:rStyle w:val="FootnoteReference"/>
        </w:rPr>
        <w:footnoteReference w:id="2"/>
      </w:r>
    </w:p>
    <w:p w14:paraId="2E44597D" w14:textId="77777777" w:rsidR="0081122B" w:rsidRPr="00730C7C" w:rsidRDefault="0081122B" w:rsidP="0081122B">
      <w:pPr>
        <w:jc w:val="both"/>
        <w:rPr>
          <w:color w:val="333333"/>
          <w:lang w:val="en" w:eastAsia="en-IE"/>
        </w:rPr>
      </w:pPr>
    </w:p>
    <w:p w14:paraId="5A72C47B" w14:textId="5ECB04D2" w:rsidR="0081122B" w:rsidRPr="00760253" w:rsidRDefault="0081122B" w:rsidP="005B0E9F">
      <w:pPr>
        <w:pStyle w:val="Heading1"/>
        <w:numPr>
          <w:ilvl w:val="0"/>
          <w:numId w:val="14"/>
        </w:numPr>
        <w:spacing w:after="60" w:line="276" w:lineRule="auto"/>
        <w:jc w:val="both"/>
        <w:rPr>
          <w:color w:val="2F5496" w:themeColor="accent1" w:themeShade="BF"/>
        </w:rPr>
      </w:pPr>
      <w:bookmarkStart w:id="22" w:name="_Toc120448341"/>
      <w:r w:rsidRPr="00760253">
        <w:rPr>
          <w:color w:val="2F5496" w:themeColor="accent1" w:themeShade="BF"/>
        </w:rPr>
        <w:t>Policy Owner</w:t>
      </w:r>
      <w:bookmarkEnd w:id="22"/>
    </w:p>
    <w:p w14:paraId="7FE87B8C" w14:textId="3763BCC8" w:rsidR="0081122B" w:rsidRPr="007B542B" w:rsidRDefault="0081122B" w:rsidP="00760253">
      <w:pPr>
        <w:spacing w:after="120" w:line="276" w:lineRule="auto"/>
        <w:rPr>
          <w:rFonts w:cs="Tahoma"/>
        </w:rPr>
      </w:pPr>
      <w:r w:rsidRPr="00593B55">
        <w:rPr>
          <w:rFonts w:cs="Tahoma"/>
        </w:rPr>
        <w:t xml:space="preserve">The </w:t>
      </w:r>
      <w:r w:rsidR="00760253">
        <w:rPr>
          <w:rFonts w:cs="Tahoma"/>
        </w:rPr>
        <w:t xml:space="preserve">Head of Governance </w:t>
      </w:r>
      <w:r w:rsidRPr="00593B55">
        <w:rPr>
          <w:rFonts w:cs="Tahoma"/>
        </w:rPr>
        <w:t xml:space="preserve">has overall responsibility for the maintenance and operation of this policy. </w:t>
      </w:r>
      <w:r w:rsidR="00BF13AA">
        <w:rPr>
          <w:rFonts w:cs="Tahoma"/>
        </w:rPr>
        <w:t xml:space="preserve">They </w:t>
      </w:r>
      <w:r w:rsidRPr="00593B55">
        <w:rPr>
          <w:rFonts w:cs="Tahoma"/>
        </w:rPr>
        <w:t>will keep a record of the concerns raised and the outcomes (</w:t>
      </w:r>
      <w:r w:rsidR="00BF13AA">
        <w:rPr>
          <w:rFonts w:cs="Tahoma"/>
        </w:rPr>
        <w:t>they</w:t>
      </w:r>
      <w:r w:rsidRPr="00593B55">
        <w:rPr>
          <w:rFonts w:cs="Tahoma"/>
        </w:rPr>
        <w:t xml:space="preserve"> will do so in a way that does not endanger </w:t>
      </w:r>
      <w:r w:rsidR="00972682">
        <w:rPr>
          <w:rFonts w:cs="Tahoma"/>
        </w:rPr>
        <w:t xml:space="preserve">the </w:t>
      </w:r>
      <w:r w:rsidRPr="00593B55">
        <w:rPr>
          <w:rFonts w:cs="Tahoma"/>
        </w:rPr>
        <w:t xml:space="preserve">confidentiality </w:t>
      </w:r>
      <w:r w:rsidR="00BF13AA">
        <w:rPr>
          <w:rFonts w:cs="Tahoma"/>
        </w:rPr>
        <w:t xml:space="preserve">of the worker </w:t>
      </w:r>
      <w:r w:rsidRPr="00593B55">
        <w:rPr>
          <w:rFonts w:cs="Tahoma"/>
        </w:rPr>
        <w:t xml:space="preserve">while at the same time dealing with concerns raised effectively) and </w:t>
      </w:r>
      <w:r w:rsidR="00BF13AA">
        <w:rPr>
          <w:rFonts w:cs="Tahoma"/>
        </w:rPr>
        <w:t>they</w:t>
      </w:r>
      <w:r w:rsidRPr="00593B55">
        <w:rPr>
          <w:rFonts w:cs="Tahoma"/>
        </w:rPr>
        <w:t xml:space="preserve"> will report as necessary to the HRB Audit &amp; Risk Committee.</w:t>
      </w:r>
    </w:p>
    <w:p w14:paraId="14D89409" w14:textId="77777777" w:rsidR="0081122B" w:rsidRDefault="0081122B" w:rsidP="00DC6F54">
      <w:pPr>
        <w:spacing w:after="120" w:line="276" w:lineRule="auto"/>
        <w:jc w:val="both"/>
        <w:rPr>
          <w:rFonts w:cs="Tahoma"/>
        </w:rPr>
      </w:pPr>
    </w:p>
    <w:p w14:paraId="53B3DF95" w14:textId="77777777" w:rsidR="0081122B" w:rsidRPr="00760253" w:rsidRDefault="0081122B" w:rsidP="005B0E9F">
      <w:pPr>
        <w:pStyle w:val="Heading1"/>
        <w:numPr>
          <w:ilvl w:val="0"/>
          <w:numId w:val="14"/>
        </w:numPr>
        <w:spacing w:after="60" w:line="276" w:lineRule="auto"/>
        <w:rPr>
          <w:color w:val="2F5496" w:themeColor="accent1" w:themeShade="BF"/>
        </w:rPr>
      </w:pPr>
      <w:bookmarkStart w:id="23" w:name="_Toc120448342"/>
      <w:r w:rsidRPr="00760253">
        <w:rPr>
          <w:color w:val="2F5496" w:themeColor="accent1" w:themeShade="BF"/>
        </w:rPr>
        <w:t>Review of this Policy</w:t>
      </w:r>
      <w:bookmarkEnd w:id="23"/>
    </w:p>
    <w:p w14:paraId="02388F7C" w14:textId="2E6A4EDD" w:rsidR="0081122B" w:rsidRDefault="0081122B" w:rsidP="00195DFE">
      <w:pPr>
        <w:spacing w:after="120" w:line="276" w:lineRule="auto"/>
        <w:jc w:val="both"/>
        <w:sectPr w:rsidR="0081122B">
          <w:pgSz w:w="11906" w:h="16838"/>
          <w:pgMar w:top="1440" w:right="1440" w:bottom="1440" w:left="1440" w:header="708" w:footer="708" w:gutter="0"/>
          <w:cols w:space="708"/>
          <w:docGrid w:linePitch="360"/>
        </w:sectPr>
      </w:pPr>
      <w:r>
        <w:t>The Protected Disclosures Policy and Procedure will be reviewed on a regular basis by the HRB’s Audit &amp; Risk Committe</w:t>
      </w:r>
      <w:r w:rsidR="00FC66AC">
        <w:t>e</w:t>
      </w:r>
    </w:p>
    <w:p w14:paraId="336A9ABB" w14:textId="77777777" w:rsidR="000D2F71" w:rsidRDefault="000D2F71" w:rsidP="00FC66AC">
      <w:pPr>
        <w:rPr>
          <w:rFonts w:cstheme="minorHAnsi"/>
        </w:rPr>
      </w:pPr>
    </w:p>
    <w:sectPr w:rsidR="000D2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D5AB" w14:textId="77777777" w:rsidR="0035550A" w:rsidRDefault="0035550A">
      <w:pPr>
        <w:spacing w:after="0" w:line="240" w:lineRule="auto"/>
      </w:pPr>
      <w:r>
        <w:separator/>
      </w:r>
    </w:p>
  </w:endnote>
  <w:endnote w:type="continuationSeparator" w:id="0">
    <w:p w14:paraId="056630E1" w14:textId="77777777" w:rsidR="0035550A" w:rsidRDefault="0035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014486"/>
      <w:docPartObj>
        <w:docPartGallery w:val="Page Numbers (Bottom of Page)"/>
        <w:docPartUnique/>
      </w:docPartObj>
    </w:sdtPr>
    <w:sdtEndPr>
      <w:rPr>
        <w:noProof/>
      </w:rPr>
    </w:sdtEndPr>
    <w:sdtContent>
      <w:p w14:paraId="5FA3EDEF" w14:textId="51E991D8" w:rsidR="0081122B" w:rsidRDefault="0081122B">
        <w:pPr>
          <w:pStyle w:val="Footer"/>
          <w:jc w:val="center"/>
        </w:pPr>
        <w:r>
          <w:fldChar w:fldCharType="begin"/>
        </w:r>
        <w:r>
          <w:instrText xml:space="preserve"> PAGE   \* MERGEFORMAT </w:instrText>
        </w:r>
        <w:r>
          <w:fldChar w:fldCharType="separate"/>
        </w:r>
        <w:r w:rsidR="008D6A39">
          <w:rPr>
            <w:noProof/>
          </w:rPr>
          <w:t>3</w:t>
        </w:r>
        <w:r>
          <w:rPr>
            <w:noProof/>
          </w:rPr>
          <w:fldChar w:fldCharType="end"/>
        </w:r>
      </w:p>
    </w:sdtContent>
  </w:sdt>
  <w:p w14:paraId="2EEBC251" w14:textId="77777777" w:rsidR="0081122B" w:rsidRDefault="0081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4FA1" w14:textId="77777777" w:rsidR="0035550A" w:rsidRDefault="0035550A">
      <w:pPr>
        <w:spacing w:after="0" w:line="240" w:lineRule="auto"/>
      </w:pPr>
      <w:r>
        <w:separator/>
      </w:r>
    </w:p>
  </w:footnote>
  <w:footnote w:type="continuationSeparator" w:id="0">
    <w:p w14:paraId="606F4545" w14:textId="77777777" w:rsidR="0035550A" w:rsidRDefault="0035550A">
      <w:pPr>
        <w:spacing w:after="0" w:line="240" w:lineRule="auto"/>
      </w:pPr>
      <w:r>
        <w:continuationSeparator/>
      </w:r>
    </w:p>
  </w:footnote>
  <w:footnote w:id="1">
    <w:p w14:paraId="5D95BA44" w14:textId="052C0579" w:rsidR="00382F87" w:rsidRDefault="00382F87">
      <w:pPr>
        <w:pStyle w:val="FootnoteText"/>
      </w:pPr>
      <w:r>
        <w:rPr>
          <w:rStyle w:val="FootnoteReference"/>
        </w:rPr>
        <w:footnoteRef/>
      </w:r>
      <w:r>
        <w:t xml:space="preserve"> Minister for Health would be the ‘Relevant Minister’ in this instance. </w:t>
      </w:r>
    </w:p>
  </w:footnote>
  <w:footnote w:id="2">
    <w:p w14:paraId="3E0C8B73" w14:textId="5EEBB10F" w:rsidR="00382F87" w:rsidRDefault="00382F87">
      <w:pPr>
        <w:pStyle w:val="FootnoteText"/>
      </w:pPr>
      <w:r>
        <w:rPr>
          <w:rStyle w:val="FootnoteReference"/>
        </w:rPr>
        <w:footnoteRef/>
      </w:r>
      <w:r>
        <w:t xml:space="preserve"> Please note there is no requirement under the Act for a worker to have representation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8E48" w14:textId="2D50CB01" w:rsidR="00195DFE" w:rsidRPr="00195DFE" w:rsidRDefault="00195DFE" w:rsidP="00195DFE">
    <w:pPr>
      <w:pStyle w:val="Header"/>
      <w:jc w:val="right"/>
      <w:rPr>
        <w:i/>
        <w:iCs/>
        <w:sz w:val="18"/>
        <w:szCs w:val="18"/>
        <w:lang w:val="en-GB"/>
      </w:rPr>
    </w:pPr>
    <w:r w:rsidRPr="00195DFE">
      <w:rPr>
        <w:i/>
        <w:iCs/>
        <w:sz w:val="18"/>
        <w:szCs w:val="18"/>
        <w:lang w:val="en-GB"/>
      </w:rPr>
      <w:t xml:space="preserve">Protected Disclosures Policy v </w:t>
    </w:r>
    <w:r w:rsidR="00744BA7">
      <w:rPr>
        <w:i/>
        <w:iCs/>
        <w:sz w:val="18"/>
        <w:szCs w:val="18"/>
        <w:lang w:val="en-GB"/>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6C7"/>
    <w:multiLevelType w:val="hybridMultilevel"/>
    <w:tmpl w:val="C6064A5E"/>
    <w:lvl w:ilvl="0" w:tplc="867495F4">
      <w:start w:val="1"/>
      <w:numFmt w:val="decimal"/>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437FF2"/>
    <w:multiLevelType w:val="hybridMultilevel"/>
    <w:tmpl w:val="E0DCEC90"/>
    <w:lvl w:ilvl="0" w:tplc="69BCEDD6">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6EC317E"/>
    <w:multiLevelType w:val="hybridMultilevel"/>
    <w:tmpl w:val="DFE27E14"/>
    <w:lvl w:ilvl="0" w:tplc="FC0E4308">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07EE6B1A"/>
    <w:multiLevelType w:val="hybridMultilevel"/>
    <w:tmpl w:val="234EC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14045D"/>
    <w:multiLevelType w:val="multilevel"/>
    <w:tmpl w:val="B56A1014"/>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DEF3A26"/>
    <w:multiLevelType w:val="hybridMultilevel"/>
    <w:tmpl w:val="E85A51B8"/>
    <w:lvl w:ilvl="0" w:tplc="18090001">
      <w:start w:val="1"/>
      <w:numFmt w:val="bullet"/>
      <w:lvlText w:val=""/>
      <w:lvlJc w:val="left"/>
      <w:pPr>
        <w:ind w:left="1858" w:hanging="360"/>
      </w:pPr>
      <w:rPr>
        <w:rFonts w:ascii="Symbol" w:hAnsi="Symbol" w:hint="default"/>
      </w:rPr>
    </w:lvl>
    <w:lvl w:ilvl="1" w:tplc="18090003" w:tentative="1">
      <w:start w:val="1"/>
      <w:numFmt w:val="bullet"/>
      <w:lvlText w:val="o"/>
      <w:lvlJc w:val="left"/>
      <w:pPr>
        <w:ind w:left="2578" w:hanging="360"/>
      </w:pPr>
      <w:rPr>
        <w:rFonts w:ascii="Courier New" w:hAnsi="Courier New" w:cs="Courier New" w:hint="default"/>
      </w:rPr>
    </w:lvl>
    <w:lvl w:ilvl="2" w:tplc="18090005" w:tentative="1">
      <w:start w:val="1"/>
      <w:numFmt w:val="bullet"/>
      <w:lvlText w:val=""/>
      <w:lvlJc w:val="left"/>
      <w:pPr>
        <w:ind w:left="3298" w:hanging="360"/>
      </w:pPr>
      <w:rPr>
        <w:rFonts w:ascii="Wingdings" w:hAnsi="Wingdings" w:hint="default"/>
      </w:rPr>
    </w:lvl>
    <w:lvl w:ilvl="3" w:tplc="18090001" w:tentative="1">
      <w:start w:val="1"/>
      <w:numFmt w:val="bullet"/>
      <w:lvlText w:val=""/>
      <w:lvlJc w:val="left"/>
      <w:pPr>
        <w:ind w:left="4018" w:hanging="360"/>
      </w:pPr>
      <w:rPr>
        <w:rFonts w:ascii="Symbol" w:hAnsi="Symbol" w:hint="default"/>
      </w:rPr>
    </w:lvl>
    <w:lvl w:ilvl="4" w:tplc="18090003" w:tentative="1">
      <w:start w:val="1"/>
      <w:numFmt w:val="bullet"/>
      <w:lvlText w:val="o"/>
      <w:lvlJc w:val="left"/>
      <w:pPr>
        <w:ind w:left="4738" w:hanging="360"/>
      </w:pPr>
      <w:rPr>
        <w:rFonts w:ascii="Courier New" w:hAnsi="Courier New" w:cs="Courier New" w:hint="default"/>
      </w:rPr>
    </w:lvl>
    <w:lvl w:ilvl="5" w:tplc="18090005" w:tentative="1">
      <w:start w:val="1"/>
      <w:numFmt w:val="bullet"/>
      <w:lvlText w:val=""/>
      <w:lvlJc w:val="left"/>
      <w:pPr>
        <w:ind w:left="5458" w:hanging="360"/>
      </w:pPr>
      <w:rPr>
        <w:rFonts w:ascii="Wingdings" w:hAnsi="Wingdings" w:hint="default"/>
      </w:rPr>
    </w:lvl>
    <w:lvl w:ilvl="6" w:tplc="18090001" w:tentative="1">
      <w:start w:val="1"/>
      <w:numFmt w:val="bullet"/>
      <w:lvlText w:val=""/>
      <w:lvlJc w:val="left"/>
      <w:pPr>
        <w:ind w:left="6178" w:hanging="360"/>
      </w:pPr>
      <w:rPr>
        <w:rFonts w:ascii="Symbol" w:hAnsi="Symbol" w:hint="default"/>
      </w:rPr>
    </w:lvl>
    <w:lvl w:ilvl="7" w:tplc="18090003" w:tentative="1">
      <w:start w:val="1"/>
      <w:numFmt w:val="bullet"/>
      <w:lvlText w:val="o"/>
      <w:lvlJc w:val="left"/>
      <w:pPr>
        <w:ind w:left="6898" w:hanging="360"/>
      </w:pPr>
      <w:rPr>
        <w:rFonts w:ascii="Courier New" w:hAnsi="Courier New" w:cs="Courier New" w:hint="default"/>
      </w:rPr>
    </w:lvl>
    <w:lvl w:ilvl="8" w:tplc="18090005" w:tentative="1">
      <w:start w:val="1"/>
      <w:numFmt w:val="bullet"/>
      <w:lvlText w:val=""/>
      <w:lvlJc w:val="left"/>
      <w:pPr>
        <w:ind w:left="7618" w:hanging="360"/>
      </w:pPr>
      <w:rPr>
        <w:rFonts w:ascii="Wingdings" w:hAnsi="Wingdings" w:hint="default"/>
      </w:rPr>
    </w:lvl>
  </w:abstractNum>
  <w:abstractNum w:abstractNumId="6" w15:restartNumberingAfterBreak="0">
    <w:nsid w:val="10427885"/>
    <w:multiLevelType w:val="multilevel"/>
    <w:tmpl w:val="0B6EE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DD0DB0"/>
    <w:multiLevelType w:val="hybridMultilevel"/>
    <w:tmpl w:val="8FC2762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D870B0"/>
    <w:multiLevelType w:val="hybridMultilevel"/>
    <w:tmpl w:val="C6064A5E"/>
    <w:lvl w:ilvl="0" w:tplc="867495F4">
      <w:start w:val="1"/>
      <w:numFmt w:val="decimal"/>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AD05F81"/>
    <w:multiLevelType w:val="hybridMultilevel"/>
    <w:tmpl w:val="BB3A4B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B1F1CA3"/>
    <w:multiLevelType w:val="hybridMultilevel"/>
    <w:tmpl w:val="89DC38D8"/>
    <w:lvl w:ilvl="0" w:tplc="81DC6F5C">
      <w:start w:val="1"/>
      <w:numFmt w:val="lowerLetter"/>
      <w:lvlText w:val="(%1)"/>
      <w:lvlJc w:val="left"/>
      <w:pPr>
        <w:ind w:left="720" w:hanging="36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5648C0"/>
    <w:multiLevelType w:val="hybridMultilevel"/>
    <w:tmpl w:val="70AAB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403D6E"/>
    <w:multiLevelType w:val="multilevel"/>
    <w:tmpl w:val="EF4A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12541D"/>
    <w:multiLevelType w:val="hybridMultilevel"/>
    <w:tmpl w:val="64384FB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24E3B85"/>
    <w:multiLevelType w:val="hybridMultilevel"/>
    <w:tmpl w:val="16FAD248"/>
    <w:lvl w:ilvl="0" w:tplc="18090001">
      <w:start w:val="1"/>
      <w:numFmt w:val="bullet"/>
      <w:lvlText w:val=""/>
      <w:lvlJc w:val="left"/>
      <w:pPr>
        <w:ind w:left="2498" w:hanging="360"/>
      </w:pPr>
      <w:rPr>
        <w:rFonts w:ascii="Symbol" w:hAnsi="Symbol" w:hint="default"/>
      </w:rPr>
    </w:lvl>
    <w:lvl w:ilvl="1" w:tplc="18090003" w:tentative="1">
      <w:start w:val="1"/>
      <w:numFmt w:val="bullet"/>
      <w:lvlText w:val="o"/>
      <w:lvlJc w:val="left"/>
      <w:pPr>
        <w:ind w:left="3218" w:hanging="360"/>
      </w:pPr>
      <w:rPr>
        <w:rFonts w:ascii="Courier New" w:hAnsi="Courier New" w:cs="Courier New" w:hint="default"/>
      </w:rPr>
    </w:lvl>
    <w:lvl w:ilvl="2" w:tplc="18090005" w:tentative="1">
      <w:start w:val="1"/>
      <w:numFmt w:val="bullet"/>
      <w:lvlText w:val=""/>
      <w:lvlJc w:val="left"/>
      <w:pPr>
        <w:ind w:left="3938" w:hanging="360"/>
      </w:pPr>
      <w:rPr>
        <w:rFonts w:ascii="Wingdings" w:hAnsi="Wingdings" w:hint="default"/>
      </w:rPr>
    </w:lvl>
    <w:lvl w:ilvl="3" w:tplc="18090001" w:tentative="1">
      <w:start w:val="1"/>
      <w:numFmt w:val="bullet"/>
      <w:lvlText w:val=""/>
      <w:lvlJc w:val="left"/>
      <w:pPr>
        <w:ind w:left="4658" w:hanging="360"/>
      </w:pPr>
      <w:rPr>
        <w:rFonts w:ascii="Symbol" w:hAnsi="Symbol" w:hint="default"/>
      </w:rPr>
    </w:lvl>
    <w:lvl w:ilvl="4" w:tplc="18090003" w:tentative="1">
      <w:start w:val="1"/>
      <w:numFmt w:val="bullet"/>
      <w:lvlText w:val="o"/>
      <w:lvlJc w:val="left"/>
      <w:pPr>
        <w:ind w:left="5378" w:hanging="360"/>
      </w:pPr>
      <w:rPr>
        <w:rFonts w:ascii="Courier New" w:hAnsi="Courier New" w:cs="Courier New" w:hint="default"/>
      </w:rPr>
    </w:lvl>
    <w:lvl w:ilvl="5" w:tplc="18090005" w:tentative="1">
      <w:start w:val="1"/>
      <w:numFmt w:val="bullet"/>
      <w:lvlText w:val=""/>
      <w:lvlJc w:val="left"/>
      <w:pPr>
        <w:ind w:left="6098" w:hanging="360"/>
      </w:pPr>
      <w:rPr>
        <w:rFonts w:ascii="Wingdings" w:hAnsi="Wingdings" w:hint="default"/>
      </w:rPr>
    </w:lvl>
    <w:lvl w:ilvl="6" w:tplc="18090001" w:tentative="1">
      <w:start w:val="1"/>
      <w:numFmt w:val="bullet"/>
      <w:lvlText w:val=""/>
      <w:lvlJc w:val="left"/>
      <w:pPr>
        <w:ind w:left="6818" w:hanging="360"/>
      </w:pPr>
      <w:rPr>
        <w:rFonts w:ascii="Symbol" w:hAnsi="Symbol" w:hint="default"/>
      </w:rPr>
    </w:lvl>
    <w:lvl w:ilvl="7" w:tplc="18090003" w:tentative="1">
      <w:start w:val="1"/>
      <w:numFmt w:val="bullet"/>
      <w:lvlText w:val="o"/>
      <w:lvlJc w:val="left"/>
      <w:pPr>
        <w:ind w:left="7538" w:hanging="360"/>
      </w:pPr>
      <w:rPr>
        <w:rFonts w:ascii="Courier New" w:hAnsi="Courier New" w:cs="Courier New" w:hint="default"/>
      </w:rPr>
    </w:lvl>
    <w:lvl w:ilvl="8" w:tplc="18090005" w:tentative="1">
      <w:start w:val="1"/>
      <w:numFmt w:val="bullet"/>
      <w:lvlText w:val=""/>
      <w:lvlJc w:val="left"/>
      <w:pPr>
        <w:ind w:left="8258" w:hanging="360"/>
      </w:pPr>
      <w:rPr>
        <w:rFonts w:ascii="Wingdings" w:hAnsi="Wingdings" w:hint="default"/>
      </w:rPr>
    </w:lvl>
  </w:abstractNum>
  <w:abstractNum w:abstractNumId="15" w15:restartNumberingAfterBreak="0">
    <w:nsid w:val="2449445E"/>
    <w:multiLevelType w:val="hybridMultilevel"/>
    <w:tmpl w:val="163E94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96E2CD9"/>
    <w:multiLevelType w:val="hybridMultilevel"/>
    <w:tmpl w:val="BE36B092"/>
    <w:lvl w:ilvl="0" w:tplc="7D50EC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D92AD7"/>
    <w:multiLevelType w:val="hybridMultilevel"/>
    <w:tmpl w:val="58681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DC17D52"/>
    <w:multiLevelType w:val="multilevel"/>
    <w:tmpl w:val="34D2D2BC"/>
    <w:lvl w:ilvl="0">
      <w:start w:val="1"/>
      <w:numFmt w:val="decimal"/>
      <w:pStyle w:val="Heading1"/>
      <w:lvlText w:val="%1."/>
      <w:lvlJc w:val="left"/>
      <w:pPr>
        <w:tabs>
          <w:tab w:val="num" w:pos="720"/>
        </w:tabs>
        <w:ind w:left="720" w:hanging="720"/>
      </w:pPr>
      <w:rPr>
        <w:rFonts w:asciiTheme="minorHAnsi" w:hAnsiTheme="minorHAnsi" w:hint="default"/>
      </w:rPr>
    </w:lvl>
    <w:lvl w:ilvl="1">
      <w:start w:val="1"/>
      <w:numFmt w:val="decimal"/>
      <w:pStyle w:val="Heading2"/>
      <w:isLgl/>
      <w:lvlText w:val="%1.%2"/>
      <w:lvlJc w:val="left"/>
      <w:pPr>
        <w:tabs>
          <w:tab w:val="num" w:pos="720"/>
        </w:tabs>
        <w:ind w:left="720" w:hanging="720"/>
      </w:pPr>
      <w:rPr>
        <w:rFonts w:ascii="Calibri" w:hAnsi="Calibri" w:hint="default"/>
        <w:b w:val="0"/>
        <w:i w:val="0"/>
        <w:sz w:val="22"/>
      </w:rPr>
    </w:lvl>
    <w:lvl w:ilvl="2">
      <w:start w:val="1"/>
      <w:numFmt w:val="decimal"/>
      <w:pStyle w:val="Heading3"/>
      <w:isLgl/>
      <w:lvlText w:val="%1.%2.%3"/>
      <w:lvlJc w:val="left"/>
      <w:pPr>
        <w:tabs>
          <w:tab w:val="num" w:pos="720"/>
        </w:tabs>
        <w:ind w:left="720" w:hanging="720"/>
      </w:pPr>
      <w:rPr>
        <w:rFonts w:asciiTheme="minorHAnsi" w:hAnsiTheme="minorHAnsi"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E8B557E"/>
    <w:multiLevelType w:val="hybridMultilevel"/>
    <w:tmpl w:val="BE36B092"/>
    <w:lvl w:ilvl="0" w:tplc="7D50EC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2643E7"/>
    <w:multiLevelType w:val="hybridMultilevel"/>
    <w:tmpl w:val="6CC66D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9C6755"/>
    <w:multiLevelType w:val="hybridMultilevel"/>
    <w:tmpl w:val="89DC38D8"/>
    <w:lvl w:ilvl="0" w:tplc="81DC6F5C">
      <w:start w:val="1"/>
      <w:numFmt w:val="lowerLetter"/>
      <w:lvlText w:val="(%1)"/>
      <w:lvlJc w:val="left"/>
      <w:pPr>
        <w:ind w:left="720" w:hanging="36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787869"/>
    <w:multiLevelType w:val="hybridMultilevel"/>
    <w:tmpl w:val="3C668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487431"/>
    <w:multiLevelType w:val="hybridMultilevel"/>
    <w:tmpl w:val="BBAEB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F420BA"/>
    <w:multiLevelType w:val="hybridMultilevel"/>
    <w:tmpl w:val="26FE4694"/>
    <w:lvl w:ilvl="0" w:tplc="C0B2F43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6213211"/>
    <w:multiLevelType w:val="hybridMultilevel"/>
    <w:tmpl w:val="2C54FC60"/>
    <w:lvl w:ilvl="0" w:tplc="F1641E7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468640CC"/>
    <w:multiLevelType w:val="hybridMultilevel"/>
    <w:tmpl w:val="B1300740"/>
    <w:lvl w:ilvl="0" w:tplc="9DEAA6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4D6A0F16"/>
    <w:multiLevelType w:val="hybridMultilevel"/>
    <w:tmpl w:val="BA280C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DE518C9"/>
    <w:multiLevelType w:val="multilevel"/>
    <w:tmpl w:val="1C647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ahoma" w:hAnsi="Tahoma" w:hint="default"/>
      </w:rPr>
    </w:lvl>
    <w:lvl w:ilvl="2">
      <w:start w:val="1"/>
      <w:numFmt w:val="decimal"/>
      <w:isLgl/>
      <w:lvlText w:val="%1.%2.%3"/>
      <w:lvlJc w:val="left"/>
      <w:pPr>
        <w:ind w:left="1080" w:hanging="720"/>
      </w:pPr>
      <w:rPr>
        <w:rFonts w:ascii="Tahoma" w:hAnsi="Tahoma" w:hint="default"/>
      </w:rPr>
    </w:lvl>
    <w:lvl w:ilvl="3">
      <w:start w:val="1"/>
      <w:numFmt w:val="decimal"/>
      <w:isLgl/>
      <w:lvlText w:val="%1.%2.%3.%4"/>
      <w:lvlJc w:val="left"/>
      <w:pPr>
        <w:ind w:left="1080" w:hanging="720"/>
      </w:pPr>
      <w:rPr>
        <w:rFonts w:ascii="Tahoma" w:hAnsi="Tahoma" w:hint="default"/>
      </w:rPr>
    </w:lvl>
    <w:lvl w:ilvl="4">
      <w:start w:val="1"/>
      <w:numFmt w:val="decimal"/>
      <w:isLgl/>
      <w:lvlText w:val="%1.%2.%3.%4.%5"/>
      <w:lvlJc w:val="left"/>
      <w:pPr>
        <w:ind w:left="1440" w:hanging="1080"/>
      </w:pPr>
      <w:rPr>
        <w:rFonts w:ascii="Tahoma" w:hAnsi="Tahoma" w:hint="default"/>
      </w:rPr>
    </w:lvl>
    <w:lvl w:ilvl="5">
      <w:start w:val="1"/>
      <w:numFmt w:val="decimal"/>
      <w:isLgl/>
      <w:lvlText w:val="%1.%2.%3.%4.%5.%6"/>
      <w:lvlJc w:val="left"/>
      <w:pPr>
        <w:ind w:left="1440" w:hanging="1080"/>
      </w:pPr>
      <w:rPr>
        <w:rFonts w:ascii="Tahoma" w:hAnsi="Tahoma" w:hint="default"/>
      </w:rPr>
    </w:lvl>
    <w:lvl w:ilvl="6">
      <w:start w:val="1"/>
      <w:numFmt w:val="decimal"/>
      <w:isLgl/>
      <w:lvlText w:val="%1.%2.%3.%4.%5.%6.%7"/>
      <w:lvlJc w:val="left"/>
      <w:pPr>
        <w:ind w:left="1800" w:hanging="1440"/>
      </w:pPr>
      <w:rPr>
        <w:rFonts w:ascii="Tahoma" w:hAnsi="Tahoma" w:hint="default"/>
      </w:rPr>
    </w:lvl>
    <w:lvl w:ilvl="7">
      <w:start w:val="1"/>
      <w:numFmt w:val="decimal"/>
      <w:isLgl/>
      <w:lvlText w:val="%1.%2.%3.%4.%5.%6.%7.%8"/>
      <w:lvlJc w:val="left"/>
      <w:pPr>
        <w:ind w:left="1800" w:hanging="1440"/>
      </w:pPr>
      <w:rPr>
        <w:rFonts w:ascii="Tahoma" w:hAnsi="Tahoma" w:hint="default"/>
      </w:rPr>
    </w:lvl>
    <w:lvl w:ilvl="8">
      <w:start w:val="1"/>
      <w:numFmt w:val="decimal"/>
      <w:isLgl/>
      <w:lvlText w:val="%1.%2.%3.%4.%5.%6.%7.%8.%9"/>
      <w:lvlJc w:val="left"/>
      <w:pPr>
        <w:ind w:left="2160" w:hanging="1800"/>
      </w:pPr>
      <w:rPr>
        <w:rFonts w:ascii="Tahoma" w:hAnsi="Tahoma" w:hint="default"/>
      </w:rPr>
    </w:lvl>
  </w:abstractNum>
  <w:abstractNum w:abstractNumId="29" w15:restartNumberingAfterBreak="0">
    <w:nsid w:val="4F251726"/>
    <w:multiLevelType w:val="hybridMultilevel"/>
    <w:tmpl w:val="9B0827A0"/>
    <w:lvl w:ilvl="0" w:tplc="3AAC5992">
      <w:start w:val="18"/>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80F0F68"/>
    <w:multiLevelType w:val="hybridMultilevel"/>
    <w:tmpl w:val="DFE27E14"/>
    <w:lvl w:ilvl="0" w:tplc="FC0E4308">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1" w15:restartNumberingAfterBreak="0">
    <w:nsid w:val="5F0807AF"/>
    <w:multiLevelType w:val="hybridMultilevel"/>
    <w:tmpl w:val="5C48B658"/>
    <w:lvl w:ilvl="0" w:tplc="BC5CCCE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310612"/>
    <w:multiLevelType w:val="hybridMultilevel"/>
    <w:tmpl w:val="925EC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4C225C9"/>
    <w:multiLevelType w:val="hybridMultilevel"/>
    <w:tmpl w:val="853CB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307B57"/>
    <w:multiLevelType w:val="hybridMultilevel"/>
    <w:tmpl w:val="FA0C4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FE3E41"/>
    <w:multiLevelType w:val="hybridMultilevel"/>
    <w:tmpl w:val="E2D8F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8B445A"/>
    <w:multiLevelType w:val="hybridMultilevel"/>
    <w:tmpl w:val="F55EA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9B05B10"/>
    <w:multiLevelType w:val="hybridMultilevel"/>
    <w:tmpl w:val="11320F8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8" w15:restartNumberingAfterBreak="0">
    <w:nsid w:val="71092C8F"/>
    <w:multiLevelType w:val="hybridMultilevel"/>
    <w:tmpl w:val="3B020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36E1458"/>
    <w:multiLevelType w:val="hybridMultilevel"/>
    <w:tmpl w:val="122EBD00"/>
    <w:lvl w:ilvl="0" w:tplc="1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1C235E"/>
    <w:multiLevelType w:val="hybridMultilevel"/>
    <w:tmpl w:val="83BAD8A8"/>
    <w:lvl w:ilvl="0" w:tplc="93A472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B4E3E53"/>
    <w:multiLevelType w:val="hybridMultilevel"/>
    <w:tmpl w:val="8B2ED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95164106">
    <w:abstractNumId w:val="18"/>
  </w:num>
  <w:num w:numId="2" w16cid:durableId="1531725268">
    <w:abstractNumId w:val="34"/>
  </w:num>
  <w:num w:numId="3" w16cid:durableId="375786642">
    <w:abstractNumId w:val="5"/>
  </w:num>
  <w:num w:numId="4" w16cid:durableId="88277122">
    <w:abstractNumId w:val="40"/>
  </w:num>
  <w:num w:numId="5" w16cid:durableId="267811037">
    <w:abstractNumId w:val="21"/>
  </w:num>
  <w:num w:numId="6" w16cid:durableId="599264802">
    <w:abstractNumId w:val="10"/>
  </w:num>
  <w:num w:numId="7" w16cid:durableId="1569343762">
    <w:abstractNumId w:val="28"/>
  </w:num>
  <w:num w:numId="8" w16cid:durableId="832841139">
    <w:abstractNumId w:val="33"/>
  </w:num>
  <w:num w:numId="9" w16cid:durableId="629945272">
    <w:abstractNumId w:val="38"/>
  </w:num>
  <w:num w:numId="10" w16cid:durableId="1385249719">
    <w:abstractNumId w:val="11"/>
  </w:num>
  <w:num w:numId="11" w16cid:durableId="1046177532">
    <w:abstractNumId w:val="36"/>
  </w:num>
  <w:num w:numId="12" w16cid:durableId="862327322">
    <w:abstractNumId w:val="17"/>
  </w:num>
  <w:num w:numId="13" w16cid:durableId="1619557171">
    <w:abstractNumId w:val="19"/>
  </w:num>
  <w:num w:numId="14" w16cid:durableId="700595244">
    <w:abstractNumId w:val="0"/>
  </w:num>
  <w:num w:numId="15" w16cid:durableId="2001999042">
    <w:abstractNumId w:val="35"/>
  </w:num>
  <w:num w:numId="16" w16cid:durableId="14500532">
    <w:abstractNumId w:val="4"/>
  </w:num>
  <w:num w:numId="17" w16cid:durableId="383606454">
    <w:abstractNumId w:val="29"/>
  </w:num>
  <w:num w:numId="18" w16cid:durableId="1153374085">
    <w:abstractNumId w:val="20"/>
  </w:num>
  <w:num w:numId="19" w16cid:durableId="576743615">
    <w:abstractNumId w:val="32"/>
  </w:num>
  <w:num w:numId="20" w16cid:durableId="124660313">
    <w:abstractNumId w:val="2"/>
  </w:num>
  <w:num w:numId="21" w16cid:durableId="1194264379">
    <w:abstractNumId w:val="30"/>
  </w:num>
  <w:num w:numId="22" w16cid:durableId="1217277198">
    <w:abstractNumId w:val="23"/>
  </w:num>
  <w:num w:numId="23" w16cid:durableId="585501817">
    <w:abstractNumId w:val="1"/>
  </w:num>
  <w:num w:numId="24" w16cid:durableId="1835611006">
    <w:abstractNumId w:val="37"/>
  </w:num>
  <w:num w:numId="25" w16cid:durableId="301157331">
    <w:abstractNumId w:val="41"/>
  </w:num>
  <w:num w:numId="26" w16cid:durableId="627199929">
    <w:abstractNumId w:val="27"/>
  </w:num>
  <w:num w:numId="27" w16cid:durableId="305747711">
    <w:abstractNumId w:val="14"/>
  </w:num>
  <w:num w:numId="28" w16cid:durableId="1252350561">
    <w:abstractNumId w:val="9"/>
  </w:num>
  <w:num w:numId="29" w16cid:durableId="875194822">
    <w:abstractNumId w:val="3"/>
  </w:num>
  <w:num w:numId="30" w16cid:durableId="18608973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7414143">
    <w:abstractNumId w:val="26"/>
  </w:num>
  <w:num w:numId="32" w16cid:durableId="1808819040">
    <w:abstractNumId w:val="13"/>
  </w:num>
  <w:num w:numId="33" w16cid:durableId="1343776232">
    <w:abstractNumId w:val="16"/>
  </w:num>
  <w:num w:numId="34" w16cid:durableId="1870678396">
    <w:abstractNumId w:val="8"/>
  </w:num>
  <w:num w:numId="35" w16cid:durableId="999194222">
    <w:abstractNumId w:val="22"/>
  </w:num>
  <w:num w:numId="36" w16cid:durableId="1279608909">
    <w:abstractNumId w:val="31"/>
  </w:num>
  <w:num w:numId="37" w16cid:durableId="1145388371">
    <w:abstractNumId w:val="24"/>
  </w:num>
  <w:num w:numId="38" w16cid:durableId="2119833477">
    <w:abstractNumId w:val="25"/>
  </w:num>
  <w:num w:numId="39" w16cid:durableId="991525400">
    <w:abstractNumId w:val="7"/>
  </w:num>
  <w:num w:numId="40" w16cid:durableId="714155593">
    <w:abstractNumId w:val="39"/>
  </w:num>
  <w:num w:numId="41" w16cid:durableId="1615556352">
    <w:abstractNumId w:val="15"/>
  </w:num>
  <w:num w:numId="42" w16cid:durableId="1591548792">
    <w:abstractNumId w:val="12"/>
  </w:num>
  <w:num w:numId="43" w16cid:durableId="1880622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2F"/>
    <w:rsid w:val="00004921"/>
    <w:rsid w:val="00016BC2"/>
    <w:rsid w:val="00041FF2"/>
    <w:rsid w:val="00063742"/>
    <w:rsid w:val="00080C89"/>
    <w:rsid w:val="00097E33"/>
    <w:rsid w:val="000B3E0F"/>
    <w:rsid w:val="000D2F71"/>
    <w:rsid w:val="00110979"/>
    <w:rsid w:val="00117C0D"/>
    <w:rsid w:val="001423AB"/>
    <w:rsid w:val="00145422"/>
    <w:rsid w:val="00195DFE"/>
    <w:rsid w:val="00197309"/>
    <w:rsid w:val="001C6D00"/>
    <w:rsid w:val="001D49CC"/>
    <w:rsid w:val="001E266C"/>
    <w:rsid w:val="00236423"/>
    <w:rsid w:val="00285144"/>
    <w:rsid w:val="00285CC3"/>
    <w:rsid w:val="00291295"/>
    <w:rsid w:val="002946E4"/>
    <w:rsid w:val="002B3F5B"/>
    <w:rsid w:val="002E0CC5"/>
    <w:rsid w:val="002E5F76"/>
    <w:rsid w:val="002F57D8"/>
    <w:rsid w:val="00311627"/>
    <w:rsid w:val="00327573"/>
    <w:rsid w:val="00335847"/>
    <w:rsid w:val="00340925"/>
    <w:rsid w:val="00341898"/>
    <w:rsid w:val="0035550A"/>
    <w:rsid w:val="00382F87"/>
    <w:rsid w:val="003B03C2"/>
    <w:rsid w:val="003B522E"/>
    <w:rsid w:val="003C2187"/>
    <w:rsid w:val="003F358B"/>
    <w:rsid w:val="004345D7"/>
    <w:rsid w:val="00442988"/>
    <w:rsid w:val="00444F05"/>
    <w:rsid w:val="0044651A"/>
    <w:rsid w:val="004821C8"/>
    <w:rsid w:val="00493107"/>
    <w:rsid w:val="004A6EA0"/>
    <w:rsid w:val="004C6BF6"/>
    <w:rsid w:val="004D3953"/>
    <w:rsid w:val="004D3CA1"/>
    <w:rsid w:val="005066C5"/>
    <w:rsid w:val="005130E1"/>
    <w:rsid w:val="005352DB"/>
    <w:rsid w:val="00541BBA"/>
    <w:rsid w:val="0055752A"/>
    <w:rsid w:val="005704F1"/>
    <w:rsid w:val="00593B55"/>
    <w:rsid w:val="00595A41"/>
    <w:rsid w:val="005A148F"/>
    <w:rsid w:val="005A4C89"/>
    <w:rsid w:val="005B0E9F"/>
    <w:rsid w:val="005B3E2F"/>
    <w:rsid w:val="005C2A1C"/>
    <w:rsid w:val="005D56C9"/>
    <w:rsid w:val="00600555"/>
    <w:rsid w:val="00611DAD"/>
    <w:rsid w:val="00614029"/>
    <w:rsid w:val="00625AF1"/>
    <w:rsid w:val="00655B92"/>
    <w:rsid w:val="006778FB"/>
    <w:rsid w:val="006823DB"/>
    <w:rsid w:val="006C607C"/>
    <w:rsid w:val="007068DB"/>
    <w:rsid w:val="00716EF4"/>
    <w:rsid w:val="0073601C"/>
    <w:rsid w:val="00744BA7"/>
    <w:rsid w:val="00750F08"/>
    <w:rsid w:val="00760253"/>
    <w:rsid w:val="00774FA2"/>
    <w:rsid w:val="00790300"/>
    <w:rsid w:val="007A01D3"/>
    <w:rsid w:val="007E7C68"/>
    <w:rsid w:val="007F6B61"/>
    <w:rsid w:val="00806C13"/>
    <w:rsid w:val="0081122B"/>
    <w:rsid w:val="0084116A"/>
    <w:rsid w:val="00863875"/>
    <w:rsid w:val="008D6789"/>
    <w:rsid w:val="008D6A39"/>
    <w:rsid w:val="008F59B8"/>
    <w:rsid w:val="0090598D"/>
    <w:rsid w:val="009275D7"/>
    <w:rsid w:val="009461BF"/>
    <w:rsid w:val="009533CF"/>
    <w:rsid w:val="00960017"/>
    <w:rsid w:val="00972682"/>
    <w:rsid w:val="00983A7D"/>
    <w:rsid w:val="00984D5E"/>
    <w:rsid w:val="009C5207"/>
    <w:rsid w:val="00A477B1"/>
    <w:rsid w:val="00A62737"/>
    <w:rsid w:val="00A7553C"/>
    <w:rsid w:val="00AA0970"/>
    <w:rsid w:val="00AF535E"/>
    <w:rsid w:val="00AF6E97"/>
    <w:rsid w:val="00B23C98"/>
    <w:rsid w:val="00B42104"/>
    <w:rsid w:val="00B4276C"/>
    <w:rsid w:val="00B7172D"/>
    <w:rsid w:val="00B80B99"/>
    <w:rsid w:val="00BA4BDE"/>
    <w:rsid w:val="00BA75B5"/>
    <w:rsid w:val="00BB16B9"/>
    <w:rsid w:val="00BD3760"/>
    <w:rsid w:val="00BF06F6"/>
    <w:rsid w:val="00BF13AA"/>
    <w:rsid w:val="00BF1CBB"/>
    <w:rsid w:val="00C16140"/>
    <w:rsid w:val="00C226F7"/>
    <w:rsid w:val="00C338EE"/>
    <w:rsid w:val="00C64F61"/>
    <w:rsid w:val="00C824FA"/>
    <w:rsid w:val="00C84EAB"/>
    <w:rsid w:val="00CB6370"/>
    <w:rsid w:val="00CC7C66"/>
    <w:rsid w:val="00CD1C79"/>
    <w:rsid w:val="00CD6648"/>
    <w:rsid w:val="00D44E14"/>
    <w:rsid w:val="00DC6F54"/>
    <w:rsid w:val="00DD08DD"/>
    <w:rsid w:val="00DD180C"/>
    <w:rsid w:val="00DD3F09"/>
    <w:rsid w:val="00DF56CC"/>
    <w:rsid w:val="00E11BC1"/>
    <w:rsid w:val="00E32FC2"/>
    <w:rsid w:val="00E6780E"/>
    <w:rsid w:val="00EA217C"/>
    <w:rsid w:val="00EB3405"/>
    <w:rsid w:val="00ED328C"/>
    <w:rsid w:val="00ED50CD"/>
    <w:rsid w:val="00EE3B22"/>
    <w:rsid w:val="00EF1B92"/>
    <w:rsid w:val="00EF47D8"/>
    <w:rsid w:val="00F1711C"/>
    <w:rsid w:val="00F25A79"/>
    <w:rsid w:val="00F5009A"/>
    <w:rsid w:val="00FC66AC"/>
    <w:rsid w:val="00FD7C57"/>
    <w:rsid w:val="00FF3932"/>
    <w:rsid w:val="367FE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3938"/>
  <w15:chartTrackingRefBased/>
  <w15:docId w15:val="{D2CFD6AB-15A8-4F2A-A543-22A3A999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qFormat/>
    <w:rsid w:val="008F59B8"/>
    <w:pPr>
      <w:keepNext/>
      <w:numPr>
        <w:numId w:val="1"/>
      </w:numPr>
      <w:spacing w:before="240" w:after="120" w:line="240" w:lineRule="auto"/>
      <w:outlineLvl w:val="0"/>
    </w:pPr>
    <w:rPr>
      <w:rFonts w:eastAsia="Times New Roman" w:cs="Times New Roman"/>
      <w:b/>
      <w:caps/>
      <w:kern w:val="28"/>
      <w:sz w:val="24"/>
      <w:szCs w:val="20"/>
      <w:lang w:val="en-GB"/>
    </w:rPr>
  </w:style>
  <w:style w:type="paragraph" w:styleId="Heading2">
    <w:name w:val="heading 2"/>
    <w:basedOn w:val="Normal"/>
    <w:next w:val="NormalIndent"/>
    <w:link w:val="Heading2Char"/>
    <w:qFormat/>
    <w:rsid w:val="008F59B8"/>
    <w:pPr>
      <w:keepNext/>
      <w:numPr>
        <w:ilvl w:val="1"/>
        <w:numId w:val="1"/>
      </w:numPr>
      <w:spacing w:before="240" w:after="60" w:line="240" w:lineRule="auto"/>
      <w:jc w:val="both"/>
      <w:outlineLvl w:val="1"/>
    </w:pPr>
    <w:rPr>
      <w:rFonts w:eastAsia="Times New Roman" w:cs="Times New Roman"/>
      <w:b/>
      <w:sz w:val="24"/>
      <w:szCs w:val="20"/>
      <w:lang w:val="en-GB"/>
    </w:rPr>
  </w:style>
  <w:style w:type="paragraph" w:styleId="Heading3">
    <w:name w:val="heading 3"/>
    <w:basedOn w:val="Normal"/>
    <w:next w:val="NormalIndent"/>
    <w:link w:val="Heading3Char"/>
    <w:qFormat/>
    <w:rsid w:val="008F59B8"/>
    <w:pPr>
      <w:numPr>
        <w:ilvl w:val="2"/>
        <w:numId w:val="1"/>
      </w:numPr>
      <w:spacing w:before="240" w:after="60" w:line="240" w:lineRule="auto"/>
      <w:jc w:val="both"/>
      <w:outlineLvl w:val="2"/>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2F"/>
    <w:rPr>
      <w:rFonts w:ascii="Segoe UI" w:hAnsi="Segoe UI" w:cs="Segoe UI"/>
      <w:sz w:val="18"/>
      <w:szCs w:val="18"/>
    </w:rPr>
  </w:style>
  <w:style w:type="character" w:customStyle="1" w:styleId="Heading1Char">
    <w:name w:val="Heading 1 Char"/>
    <w:basedOn w:val="DefaultParagraphFont"/>
    <w:link w:val="Heading1"/>
    <w:rsid w:val="008F59B8"/>
    <w:rPr>
      <w:rFonts w:eastAsia="Times New Roman" w:cs="Times New Roman"/>
      <w:b/>
      <w:caps/>
      <w:kern w:val="28"/>
      <w:sz w:val="24"/>
      <w:szCs w:val="20"/>
      <w:lang w:val="en-GB"/>
    </w:rPr>
  </w:style>
  <w:style w:type="character" w:customStyle="1" w:styleId="Heading2Char">
    <w:name w:val="Heading 2 Char"/>
    <w:basedOn w:val="DefaultParagraphFont"/>
    <w:link w:val="Heading2"/>
    <w:rsid w:val="008F59B8"/>
    <w:rPr>
      <w:rFonts w:eastAsia="Times New Roman" w:cs="Times New Roman"/>
      <w:b/>
      <w:sz w:val="24"/>
      <w:szCs w:val="20"/>
      <w:lang w:val="en-GB"/>
    </w:rPr>
  </w:style>
  <w:style w:type="character" w:customStyle="1" w:styleId="Heading3Char">
    <w:name w:val="Heading 3 Char"/>
    <w:basedOn w:val="DefaultParagraphFont"/>
    <w:link w:val="Heading3"/>
    <w:rsid w:val="008F59B8"/>
    <w:rPr>
      <w:rFonts w:eastAsia="Times New Roman" w:cs="Times New Roman"/>
      <w:szCs w:val="20"/>
      <w:lang w:val="en-GB"/>
    </w:rPr>
  </w:style>
  <w:style w:type="paragraph" w:customStyle="1" w:styleId="TableText">
    <w:name w:val="Table Text"/>
    <w:basedOn w:val="Normal"/>
    <w:rsid w:val="008F59B8"/>
    <w:pPr>
      <w:spacing w:before="40" w:after="40" w:line="240" w:lineRule="auto"/>
    </w:pPr>
    <w:rPr>
      <w:rFonts w:eastAsia="Times New Roman" w:cs="Times New Roman"/>
      <w:b/>
      <w:lang w:val="en-GB"/>
    </w:rPr>
  </w:style>
  <w:style w:type="paragraph" w:styleId="NormalIndent">
    <w:name w:val="Normal Indent"/>
    <w:basedOn w:val="Normal"/>
    <w:rsid w:val="008F59B8"/>
    <w:pPr>
      <w:spacing w:after="120" w:line="240" w:lineRule="auto"/>
      <w:ind w:left="720"/>
      <w:jc w:val="both"/>
    </w:pPr>
    <w:rPr>
      <w:rFonts w:eastAsia="Times New Roman" w:cs="Times New Roman"/>
      <w:szCs w:val="20"/>
      <w:lang w:val="en-GB"/>
    </w:rPr>
  </w:style>
  <w:style w:type="paragraph" w:styleId="ListParagraph">
    <w:name w:val="List Paragraph"/>
    <w:basedOn w:val="Normal"/>
    <w:uiPriority w:val="34"/>
    <w:qFormat/>
    <w:rsid w:val="008F59B8"/>
    <w:pPr>
      <w:spacing w:after="0" w:line="240" w:lineRule="auto"/>
      <w:ind w:left="720"/>
      <w:contextualSpacing/>
    </w:pPr>
    <w:rPr>
      <w:rFonts w:ascii="Tahoma" w:eastAsia="Times New Roman" w:hAnsi="Tahoma" w:cs="Times New Roman"/>
      <w:sz w:val="20"/>
      <w:szCs w:val="24"/>
      <w:lang w:val="en-GB"/>
    </w:rPr>
  </w:style>
  <w:style w:type="table" w:styleId="TableGrid">
    <w:name w:val="Table Grid"/>
    <w:basedOn w:val="TableNormal"/>
    <w:uiPriority w:val="59"/>
    <w:rsid w:val="008F59B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9B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11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2B"/>
  </w:style>
  <w:style w:type="character" w:styleId="Hyperlink">
    <w:name w:val="Hyperlink"/>
    <w:basedOn w:val="DefaultParagraphFont"/>
    <w:uiPriority w:val="99"/>
    <w:unhideWhenUsed/>
    <w:rsid w:val="0081122B"/>
    <w:rPr>
      <w:color w:val="0563C1" w:themeColor="hyperlink"/>
      <w:u w:val="single"/>
    </w:rPr>
  </w:style>
  <w:style w:type="paragraph" w:styleId="TOC1">
    <w:name w:val="toc 1"/>
    <w:basedOn w:val="Normal"/>
    <w:next w:val="Normal"/>
    <w:autoRedefine/>
    <w:uiPriority w:val="39"/>
    <w:unhideWhenUsed/>
    <w:rsid w:val="0081122B"/>
    <w:pPr>
      <w:spacing w:after="100" w:line="276" w:lineRule="auto"/>
    </w:pPr>
  </w:style>
  <w:style w:type="character" w:styleId="CommentReference">
    <w:name w:val="annotation reference"/>
    <w:basedOn w:val="DefaultParagraphFont"/>
    <w:uiPriority w:val="99"/>
    <w:semiHidden/>
    <w:unhideWhenUsed/>
    <w:rsid w:val="0081122B"/>
    <w:rPr>
      <w:sz w:val="16"/>
      <w:szCs w:val="16"/>
    </w:rPr>
  </w:style>
  <w:style w:type="paragraph" w:styleId="CommentText">
    <w:name w:val="annotation text"/>
    <w:basedOn w:val="Normal"/>
    <w:link w:val="CommentTextChar"/>
    <w:uiPriority w:val="99"/>
    <w:unhideWhenUsed/>
    <w:rsid w:val="0081122B"/>
    <w:pPr>
      <w:spacing w:after="200" w:line="240" w:lineRule="auto"/>
    </w:pPr>
    <w:rPr>
      <w:sz w:val="20"/>
      <w:szCs w:val="20"/>
    </w:rPr>
  </w:style>
  <w:style w:type="character" w:customStyle="1" w:styleId="CommentTextChar">
    <w:name w:val="Comment Text Char"/>
    <w:basedOn w:val="DefaultParagraphFont"/>
    <w:link w:val="CommentText"/>
    <w:uiPriority w:val="99"/>
    <w:rsid w:val="0081122B"/>
    <w:rPr>
      <w:sz w:val="20"/>
      <w:szCs w:val="20"/>
    </w:rPr>
  </w:style>
  <w:style w:type="paragraph" w:styleId="Header">
    <w:name w:val="header"/>
    <w:basedOn w:val="Normal"/>
    <w:link w:val="HeaderChar"/>
    <w:uiPriority w:val="99"/>
    <w:unhideWhenUsed/>
    <w:rsid w:val="00195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FE"/>
  </w:style>
  <w:style w:type="paragraph" w:styleId="CommentSubject">
    <w:name w:val="annotation subject"/>
    <w:basedOn w:val="CommentText"/>
    <w:next w:val="CommentText"/>
    <w:link w:val="CommentSubjectChar"/>
    <w:uiPriority w:val="99"/>
    <w:semiHidden/>
    <w:unhideWhenUsed/>
    <w:rsid w:val="00B42104"/>
    <w:pPr>
      <w:spacing w:after="160"/>
    </w:pPr>
    <w:rPr>
      <w:b/>
      <w:bCs/>
    </w:rPr>
  </w:style>
  <w:style w:type="character" w:customStyle="1" w:styleId="CommentSubjectChar">
    <w:name w:val="Comment Subject Char"/>
    <w:basedOn w:val="CommentTextChar"/>
    <w:link w:val="CommentSubject"/>
    <w:uiPriority w:val="99"/>
    <w:semiHidden/>
    <w:rsid w:val="00B42104"/>
    <w:rPr>
      <w:b/>
      <w:bCs/>
      <w:sz w:val="20"/>
      <w:szCs w:val="20"/>
    </w:rPr>
  </w:style>
  <w:style w:type="paragraph" w:customStyle="1" w:styleId="MFNumLev1">
    <w:name w:val="MFNumLev1"/>
    <w:rsid w:val="00AA0970"/>
    <w:pPr>
      <w:keepNext/>
      <w:tabs>
        <w:tab w:val="num" w:pos="720"/>
      </w:tabs>
      <w:spacing w:after="240" w:line="240" w:lineRule="auto"/>
      <w:ind w:left="720" w:hanging="720"/>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AA0970"/>
    <w:pPr>
      <w:keepNext w:val="0"/>
      <w:outlineLvl w:val="1"/>
    </w:pPr>
    <w:rPr>
      <w:b w:val="0"/>
    </w:rPr>
  </w:style>
  <w:style w:type="paragraph" w:customStyle="1" w:styleId="MFNumLev3">
    <w:name w:val="MFNumLev3"/>
    <w:basedOn w:val="MFNumLev2"/>
    <w:rsid w:val="00AA0970"/>
    <w:pPr>
      <w:tabs>
        <w:tab w:val="clear" w:pos="720"/>
        <w:tab w:val="num" w:pos="1440"/>
      </w:tabs>
      <w:ind w:left="1440"/>
      <w:outlineLvl w:val="2"/>
    </w:pPr>
  </w:style>
  <w:style w:type="paragraph" w:customStyle="1" w:styleId="MFNumLev4">
    <w:name w:val="MFNumLev4"/>
    <w:basedOn w:val="MFNumLev2"/>
    <w:rsid w:val="00AA0970"/>
    <w:pPr>
      <w:tabs>
        <w:tab w:val="clear" w:pos="720"/>
        <w:tab w:val="num" w:pos="2160"/>
      </w:tabs>
      <w:ind w:left="2160"/>
      <w:outlineLvl w:val="3"/>
    </w:pPr>
  </w:style>
  <w:style w:type="paragraph" w:customStyle="1" w:styleId="MFNumLev5">
    <w:name w:val="MFNumLev5"/>
    <w:basedOn w:val="MFNumLev2"/>
    <w:rsid w:val="00AA0970"/>
    <w:pPr>
      <w:tabs>
        <w:tab w:val="clear" w:pos="720"/>
        <w:tab w:val="num" w:pos="2880"/>
      </w:tabs>
      <w:ind w:left="2880"/>
      <w:outlineLvl w:val="4"/>
    </w:pPr>
  </w:style>
  <w:style w:type="paragraph" w:customStyle="1" w:styleId="MFNumLev6">
    <w:name w:val="MFNumLev6"/>
    <w:basedOn w:val="MFNumLev2"/>
    <w:rsid w:val="00AA0970"/>
    <w:pPr>
      <w:tabs>
        <w:tab w:val="clear" w:pos="720"/>
        <w:tab w:val="num" w:pos="3600"/>
      </w:tabs>
      <w:ind w:left="3600"/>
      <w:outlineLvl w:val="5"/>
    </w:pPr>
  </w:style>
  <w:style w:type="paragraph" w:styleId="FootnoteText">
    <w:name w:val="footnote text"/>
    <w:basedOn w:val="Normal"/>
    <w:link w:val="FootnoteTextChar"/>
    <w:uiPriority w:val="99"/>
    <w:semiHidden/>
    <w:unhideWhenUsed/>
    <w:rsid w:val="00382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87"/>
    <w:rPr>
      <w:sz w:val="20"/>
      <w:szCs w:val="20"/>
    </w:rPr>
  </w:style>
  <w:style w:type="character" w:styleId="FootnoteReference">
    <w:name w:val="footnote reference"/>
    <w:basedOn w:val="DefaultParagraphFont"/>
    <w:uiPriority w:val="99"/>
    <w:semiHidden/>
    <w:unhideWhenUsed/>
    <w:rsid w:val="00382F87"/>
    <w:rPr>
      <w:vertAlign w:val="superscript"/>
    </w:rPr>
  </w:style>
  <w:style w:type="paragraph" w:styleId="TOC2">
    <w:name w:val="toc 2"/>
    <w:basedOn w:val="Normal"/>
    <w:next w:val="Normal"/>
    <w:autoRedefine/>
    <w:uiPriority w:val="39"/>
    <w:unhideWhenUsed/>
    <w:rsid w:val="00B80B99"/>
    <w:pPr>
      <w:spacing w:after="100"/>
      <w:ind w:left="220"/>
    </w:pPr>
  </w:style>
  <w:style w:type="paragraph" w:styleId="TOC3">
    <w:name w:val="toc 3"/>
    <w:basedOn w:val="Normal"/>
    <w:next w:val="Normal"/>
    <w:autoRedefine/>
    <w:uiPriority w:val="39"/>
    <w:unhideWhenUsed/>
    <w:rsid w:val="00B80B99"/>
    <w:pPr>
      <w:spacing w:after="100"/>
      <w:ind w:left="440"/>
    </w:pPr>
  </w:style>
  <w:style w:type="paragraph" w:customStyle="1" w:styleId="paragraph">
    <w:name w:val="paragraph"/>
    <w:basedOn w:val="Normal"/>
    <w:rsid w:val="00C338E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338EE"/>
  </w:style>
  <w:style w:type="character" w:customStyle="1" w:styleId="eop">
    <w:name w:val="eop"/>
    <w:basedOn w:val="DefaultParagraphFont"/>
    <w:rsid w:val="00C3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F2903AC8E5894582073C97AF380BC7" ma:contentTypeVersion="6" ma:contentTypeDescription="Create a new document." ma:contentTypeScope="" ma:versionID="340d21ae268e2bc22b13abf97702f0e3">
  <xsd:schema xmlns:xsd="http://www.w3.org/2001/XMLSchema" xmlns:xs="http://www.w3.org/2001/XMLSchema" xmlns:p="http://schemas.microsoft.com/office/2006/metadata/properties" xmlns:ns2="10fd395d-7432-4287-ae23-9b260b3c68db" xmlns:ns3="279232af-9a14-4481-ae9d-8ddfe48838bd" targetNamespace="http://schemas.microsoft.com/office/2006/metadata/properties" ma:root="true" ma:fieldsID="3c2b60f408eac708d1d814168f0bbd53" ns2:_="" ns3:_="">
    <xsd:import namespace="10fd395d-7432-4287-ae23-9b260b3c68db"/>
    <xsd:import namespace="279232af-9a14-4481-ae9d-8ddfe48838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d395d-7432-4287-ae23-9b260b3c6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32af-9a14-4481-ae9d-8ddfe4883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21DEE-F47D-47E3-89D0-AB1DB1035DD1}">
  <ds:schemaRefs>
    <ds:schemaRef ds:uri="http://schemas.microsoft.com/sharepoint/v3/contenttype/forms"/>
  </ds:schemaRefs>
</ds:datastoreItem>
</file>

<file path=customXml/itemProps2.xml><?xml version="1.0" encoding="utf-8"?>
<ds:datastoreItem xmlns:ds="http://schemas.openxmlformats.org/officeDocument/2006/customXml" ds:itemID="{B28DB05E-CF6C-48B4-86CF-AB673235F85E}">
  <ds:schemaRefs>
    <ds:schemaRef ds:uri="http://schemas.openxmlformats.org/officeDocument/2006/bibliography"/>
  </ds:schemaRefs>
</ds:datastoreItem>
</file>

<file path=customXml/itemProps3.xml><?xml version="1.0" encoding="utf-8"?>
<ds:datastoreItem xmlns:ds="http://schemas.openxmlformats.org/officeDocument/2006/customXml" ds:itemID="{1DF99D76-E3D7-455E-AE7D-6DEA92905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B6040-AAA7-4C68-8F06-40047B13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d395d-7432-4287-ae23-9b260b3c68db"/>
    <ds:schemaRef ds:uri="279232af-9a14-4481-ae9d-8ddfe488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Cronin</dc:creator>
  <cp:keywords/>
  <dc:description/>
  <cp:lastModifiedBy>Brian Cummins</cp:lastModifiedBy>
  <cp:revision>2</cp:revision>
  <cp:lastPrinted>2019-10-18T13:04:00Z</cp:lastPrinted>
  <dcterms:created xsi:type="dcterms:W3CDTF">2022-12-20T14:33:00Z</dcterms:created>
  <dcterms:modified xsi:type="dcterms:W3CDTF">2022-12-20T14:33:00Z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0x010100D0F2903AC8E5894582073C97AF380BC7</vt:lpwstr>
  </property>
  <property fmtid="{D5CDD505-2E9C-101B-9397-08002B2CF9AE}" pid="3" name="DMSLink.AUTHOR.LOCATION">
    <vt:lpwstr>Dublin</vt:lpwstr>
  </property>
  <property fmtid="{D5CDD505-2E9C-101B-9397-08002B2CF9AE}" pid="4" name="DMSLink.MATTER.CLIENT_ID.CLIENT_ID">
    <vt:lpwstr>SHARED</vt:lpwstr>
  </property>
  <property fmtid="{D5CDD505-2E9C-101B-9397-08002B2CF9AE}" pid="5" name="DMSLink.MATTER.CLIENT_ID.CLIENT_NAME">
    <vt:lpwstr>Shared</vt:lpwstr>
  </property>
  <property fmtid="{D5CDD505-2E9C-101B-9397-08002B2CF9AE}" pid="6" name="DMSLink.MATTER.MATTER_ID">
    <vt:lpwstr>MEB</vt:lpwstr>
  </property>
  <property fmtid="{D5CDD505-2E9C-101B-9397-08002B2CF9AE}" pid="7" name="DMSLink.MATTER.MATTER_NAME">
    <vt:lpwstr>Brassil, Mary</vt:lpwstr>
  </property>
  <property fmtid="{D5CDD505-2E9C-101B-9397-08002B2CF9AE}" pid="8" name="DMSLink.VERSION">
    <vt:lpwstr>1</vt:lpwstr>
  </property>
  <property fmtid="{D5CDD505-2E9C-101B-9397-08002B2CF9AE}" pid="9" name="DMSLink.AUTHOR.FULL_NAME">
    <vt:lpwstr>Mary Brassil</vt:lpwstr>
  </property>
  <property fmtid="{D5CDD505-2E9C-101B-9397-08002B2CF9AE}" pid="10" name="DMSLink.AUTHOR.USER_ID">
    <vt:lpwstr>MEB</vt:lpwstr>
  </property>
  <property fmtid="{D5CDD505-2E9C-101B-9397-08002B2CF9AE}" pid="11" name="DMSLink.AUTHOR.PHONE">
    <vt:lpwstr>+353 1 607 1279</vt:lpwstr>
  </property>
  <property fmtid="{D5CDD505-2E9C-101B-9397-08002B2CF9AE}" pid="12" name="DMSLink.AUTHOR.FAX">
    <vt:lpwstr/>
  </property>
  <property fmtid="{D5CDD505-2E9C-101B-9397-08002B2CF9AE}" pid="13" name="DMSLink.AUTHOR.EXTENSION">
    <vt:lpwstr>1279</vt:lpwstr>
  </property>
  <property fmtid="{D5CDD505-2E9C-101B-9397-08002B2CF9AE}" pid="14" name="DMSLink.AUTHOR.EMAIL_ADDRESS">
    <vt:lpwstr>mary.brassil@mccannfitzgerald.com</vt:lpwstr>
  </property>
  <property fmtid="{D5CDD505-2E9C-101B-9397-08002B2CF9AE}" pid="15" name="DMSLink.TYPIST.USER_ID">
    <vt:lpwstr>MEB</vt:lpwstr>
  </property>
  <property fmtid="{D5CDD505-2E9C-101B-9397-08002B2CF9AE}" pid="16" name="DMSLink.LIBRARYNAME">
    <vt:lpwstr>LIVE</vt:lpwstr>
  </property>
  <property fmtid="{D5CDD505-2E9C-101B-9397-08002B2CF9AE}" pid="17" name="DMSLink.DOCNAME">
    <vt:lpwstr>Protected Disclosures Policy MF changes</vt:lpwstr>
  </property>
  <property fmtid="{D5CDD505-2E9C-101B-9397-08002B2CF9AE}" pid="18" name="DMSLink.DOCUMENTTYPE.TYPE_ID">
    <vt:lpwstr>DOC</vt:lpwstr>
  </property>
  <property fmtid="{D5CDD505-2E9C-101B-9397-08002B2CF9AE}" pid="19" name="DMSLink.APPLICATION.APPLICATION">
    <vt:lpwstr>WORDX</vt:lpwstr>
  </property>
  <property fmtid="{D5CDD505-2E9C-101B-9397-08002B2CF9AE}" pid="20" name="DMSLink.REFERENCE">
    <vt:lpwstr>MEB\47365346.1</vt:lpwstr>
  </property>
  <property fmtid="{D5CDD505-2E9C-101B-9397-08002B2CF9AE}" pid="21" name="DMSLink.DOCNUMBER">
    <vt:lpwstr>47365346</vt:lpwstr>
  </property>
  <property fmtid="{D5CDD505-2E9C-101B-9397-08002B2CF9AE}" pid="22" name="DMSLink.DOCUMENTTYPE.DESCRIPTION">
    <vt:lpwstr>Document</vt:lpwstr>
  </property>
  <property fmtid="{D5CDD505-2E9C-101B-9397-08002B2CF9AE}" pid="23" name="DMSLink.APPLICATION.DESCRIPTION">
    <vt:lpwstr>Microsoft Word X</vt:lpwstr>
  </property>
</Properties>
</file>